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CBA" w:rsidRDefault="004F5CBA" w:rsidP="00050504">
      <w:pPr>
        <w:spacing w:line="276" w:lineRule="auto"/>
        <w:jc w:val="center"/>
        <w:rPr>
          <w:rFonts w:ascii="Calibri" w:hAnsi="Calibri"/>
          <w:b/>
        </w:rPr>
      </w:pPr>
    </w:p>
    <w:p w:rsidR="004F5CBA" w:rsidRDefault="004F5CBA" w:rsidP="00050504">
      <w:pPr>
        <w:spacing w:line="276" w:lineRule="auto"/>
        <w:jc w:val="center"/>
        <w:rPr>
          <w:rFonts w:ascii="Calibri" w:hAnsi="Calibri"/>
          <w:b/>
        </w:rPr>
      </w:pPr>
    </w:p>
    <w:p w:rsidR="004F5CBA" w:rsidRDefault="004F5CBA" w:rsidP="00050504">
      <w:pPr>
        <w:spacing w:line="276" w:lineRule="auto"/>
        <w:jc w:val="center"/>
        <w:rPr>
          <w:rFonts w:ascii="Calibri" w:hAnsi="Calibri"/>
          <w:b/>
        </w:rPr>
      </w:pPr>
    </w:p>
    <w:p w:rsidR="004F5CBA" w:rsidRDefault="004F5CBA" w:rsidP="00050504">
      <w:pPr>
        <w:spacing w:line="276" w:lineRule="auto"/>
        <w:jc w:val="center"/>
        <w:rPr>
          <w:rFonts w:ascii="Calibri" w:hAnsi="Calibri"/>
          <w:b/>
        </w:rPr>
      </w:pPr>
    </w:p>
    <w:p w:rsidR="004F5CBA" w:rsidRDefault="004F5CBA" w:rsidP="00050504">
      <w:pPr>
        <w:spacing w:line="276" w:lineRule="auto"/>
        <w:jc w:val="center"/>
        <w:rPr>
          <w:rFonts w:ascii="Calibri" w:hAnsi="Calibri"/>
          <w:b/>
        </w:rPr>
      </w:pPr>
    </w:p>
    <w:p w:rsidR="004F5CBA" w:rsidRDefault="004F5CBA" w:rsidP="00050504">
      <w:pPr>
        <w:spacing w:line="276" w:lineRule="auto"/>
        <w:jc w:val="center"/>
        <w:rPr>
          <w:rFonts w:ascii="Calibri" w:hAnsi="Calibri"/>
          <w:b/>
        </w:rPr>
      </w:pPr>
    </w:p>
    <w:p w:rsidR="004F5CBA" w:rsidRDefault="004F5CBA" w:rsidP="00050504">
      <w:pPr>
        <w:spacing w:line="276" w:lineRule="auto"/>
        <w:jc w:val="center"/>
        <w:rPr>
          <w:rFonts w:ascii="Calibri" w:hAnsi="Calibri"/>
          <w:b/>
        </w:rPr>
      </w:pPr>
    </w:p>
    <w:p w:rsidR="004F5CBA" w:rsidRDefault="004F5CBA" w:rsidP="00050504">
      <w:pPr>
        <w:spacing w:line="276" w:lineRule="auto"/>
        <w:jc w:val="center"/>
        <w:rPr>
          <w:rFonts w:ascii="Calibri" w:hAnsi="Calibri"/>
          <w:b/>
        </w:rPr>
      </w:pPr>
    </w:p>
    <w:p w:rsidR="004F5CBA" w:rsidRDefault="004F5CBA" w:rsidP="00050504">
      <w:pPr>
        <w:spacing w:line="276" w:lineRule="auto"/>
        <w:jc w:val="center"/>
        <w:rPr>
          <w:rFonts w:ascii="Calibri" w:hAnsi="Calibri"/>
          <w:b/>
        </w:rPr>
      </w:pPr>
    </w:p>
    <w:p w:rsidR="004F5CBA" w:rsidRDefault="004F5CBA" w:rsidP="00050504">
      <w:pPr>
        <w:spacing w:line="276" w:lineRule="auto"/>
        <w:jc w:val="center"/>
        <w:rPr>
          <w:rFonts w:ascii="Calibri" w:hAnsi="Calibri"/>
          <w:b/>
        </w:rPr>
      </w:pPr>
    </w:p>
    <w:p w:rsidR="004F5CBA" w:rsidRDefault="004F5CBA" w:rsidP="00050504">
      <w:pPr>
        <w:spacing w:line="276" w:lineRule="auto"/>
        <w:jc w:val="center"/>
        <w:rPr>
          <w:rFonts w:ascii="Calibri" w:hAnsi="Calibri"/>
          <w:b/>
        </w:rPr>
      </w:pPr>
    </w:p>
    <w:p w:rsidR="004F5CBA" w:rsidRDefault="004F5CBA" w:rsidP="00050504">
      <w:pPr>
        <w:spacing w:line="276" w:lineRule="auto"/>
        <w:jc w:val="center"/>
        <w:rPr>
          <w:rFonts w:ascii="Calibri" w:hAnsi="Calibri"/>
          <w:b/>
        </w:rPr>
      </w:pPr>
    </w:p>
    <w:p w:rsidR="004F5CBA" w:rsidRDefault="004F5CBA" w:rsidP="00050504">
      <w:pPr>
        <w:spacing w:line="276" w:lineRule="auto"/>
        <w:jc w:val="center"/>
        <w:rPr>
          <w:rFonts w:ascii="Calibri" w:hAnsi="Calibri"/>
          <w:b/>
        </w:rPr>
      </w:pPr>
    </w:p>
    <w:p w:rsidR="004F5CBA" w:rsidRDefault="004F5CBA" w:rsidP="00050504">
      <w:pPr>
        <w:spacing w:line="276" w:lineRule="auto"/>
        <w:jc w:val="center"/>
        <w:rPr>
          <w:rFonts w:ascii="Calibri" w:hAnsi="Calibri"/>
          <w:b/>
        </w:rPr>
      </w:pPr>
    </w:p>
    <w:p w:rsidR="004F5CBA" w:rsidRDefault="004F5CBA" w:rsidP="00050504">
      <w:pPr>
        <w:spacing w:line="276" w:lineRule="auto"/>
        <w:jc w:val="center"/>
        <w:rPr>
          <w:rFonts w:ascii="Calibri" w:hAnsi="Calibri"/>
          <w:b/>
        </w:rPr>
      </w:pPr>
    </w:p>
    <w:p w:rsidR="004F5CBA" w:rsidRPr="004F5CBA" w:rsidRDefault="004F5CBA" w:rsidP="00050504">
      <w:pPr>
        <w:spacing w:line="276" w:lineRule="auto"/>
        <w:jc w:val="center"/>
        <w:rPr>
          <w:rFonts w:ascii="Calibri" w:hAnsi="Calibri"/>
          <w:b/>
          <w:sz w:val="28"/>
          <w:szCs w:val="28"/>
        </w:rPr>
      </w:pPr>
    </w:p>
    <w:p w:rsidR="004F5CBA" w:rsidRPr="004F5CBA" w:rsidRDefault="004F5CBA" w:rsidP="00050504">
      <w:pPr>
        <w:spacing w:line="276" w:lineRule="auto"/>
        <w:jc w:val="center"/>
        <w:rPr>
          <w:rFonts w:ascii="Calibri" w:hAnsi="Calibri"/>
          <w:b/>
          <w:sz w:val="28"/>
          <w:szCs w:val="28"/>
        </w:rPr>
      </w:pPr>
    </w:p>
    <w:p w:rsidR="004F5CBA" w:rsidRPr="004F5CBA" w:rsidRDefault="004F5CBA" w:rsidP="00050504">
      <w:pPr>
        <w:spacing w:line="276" w:lineRule="auto"/>
        <w:jc w:val="center"/>
        <w:rPr>
          <w:rFonts w:ascii="Calibri" w:hAnsi="Calibri"/>
          <w:b/>
          <w:sz w:val="28"/>
          <w:szCs w:val="28"/>
        </w:rPr>
      </w:pPr>
    </w:p>
    <w:p w:rsidR="004F5CBA" w:rsidRPr="004F5CBA" w:rsidRDefault="004F5CBA" w:rsidP="00050504">
      <w:pPr>
        <w:spacing w:line="276" w:lineRule="auto"/>
        <w:jc w:val="center"/>
        <w:rPr>
          <w:rFonts w:ascii="Calibri" w:hAnsi="Calibri"/>
          <w:b/>
          <w:sz w:val="28"/>
          <w:szCs w:val="28"/>
        </w:rPr>
      </w:pPr>
      <w:r w:rsidRPr="004F5CBA">
        <w:rPr>
          <w:rFonts w:ascii="Calibri" w:hAnsi="Calibri"/>
          <w:b/>
          <w:sz w:val="28"/>
          <w:szCs w:val="28"/>
        </w:rPr>
        <w:t>BILJEŠKE UZ GODIŠNJE FINANCIJSKE IZVJEŠTAJE</w:t>
      </w:r>
    </w:p>
    <w:p w:rsidR="004F5CBA" w:rsidRPr="004F5CBA" w:rsidRDefault="004F5CBA" w:rsidP="00050504">
      <w:pPr>
        <w:spacing w:line="276" w:lineRule="auto"/>
        <w:jc w:val="center"/>
        <w:rPr>
          <w:rFonts w:ascii="Calibri" w:hAnsi="Calibri"/>
          <w:b/>
          <w:sz w:val="28"/>
          <w:szCs w:val="28"/>
        </w:rPr>
      </w:pPr>
      <w:r w:rsidRPr="004F5CBA">
        <w:rPr>
          <w:rFonts w:ascii="Calibri" w:hAnsi="Calibri"/>
          <w:b/>
          <w:sz w:val="28"/>
          <w:szCs w:val="28"/>
        </w:rPr>
        <w:t>ZA RAZDOBLJE OD 01.01.2015. DO 31.12.2015.</w:t>
      </w:r>
    </w:p>
    <w:p w:rsidR="004F5CBA" w:rsidRPr="004F5CBA" w:rsidRDefault="004F5CBA" w:rsidP="00050504">
      <w:pPr>
        <w:spacing w:line="276" w:lineRule="auto"/>
        <w:jc w:val="center"/>
        <w:rPr>
          <w:rFonts w:ascii="Calibri" w:hAnsi="Calibri"/>
        </w:rPr>
      </w:pPr>
    </w:p>
    <w:p w:rsidR="004F5CBA" w:rsidRPr="004F5CBA" w:rsidRDefault="004F5CBA" w:rsidP="00050504">
      <w:pPr>
        <w:spacing w:line="276" w:lineRule="auto"/>
        <w:jc w:val="center"/>
        <w:rPr>
          <w:rFonts w:ascii="Calibri" w:hAnsi="Calibri"/>
        </w:rPr>
      </w:pPr>
    </w:p>
    <w:p w:rsidR="004F5CBA" w:rsidRDefault="004F5CBA" w:rsidP="00050504">
      <w:pPr>
        <w:spacing w:line="276" w:lineRule="auto"/>
        <w:jc w:val="both"/>
        <w:rPr>
          <w:rFonts w:ascii="Calibri" w:hAnsi="Calibri"/>
        </w:rPr>
      </w:pPr>
    </w:p>
    <w:p w:rsidR="004F5CBA" w:rsidRDefault="004F5CBA" w:rsidP="00050504">
      <w:pPr>
        <w:spacing w:line="276" w:lineRule="auto"/>
        <w:jc w:val="both"/>
        <w:rPr>
          <w:rFonts w:ascii="Calibri" w:hAnsi="Calibri"/>
        </w:rPr>
      </w:pPr>
    </w:p>
    <w:p w:rsidR="004F5CBA" w:rsidRDefault="004F5CBA" w:rsidP="00050504">
      <w:pPr>
        <w:spacing w:line="276" w:lineRule="auto"/>
        <w:jc w:val="both"/>
        <w:rPr>
          <w:rFonts w:ascii="Calibri" w:hAnsi="Calibri"/>
        </w:rPr>
      </w:pPr>
    </w:p>
    <w:p w:rsidR="004F5CBA" w:rsidRDefault="004F5CBA" w:rsidP="00050504">
      <w:pPr>
        <w:spacing w:line="276" w:lineRule="auto"/>
        <w:jc w:val="both"/>
        <w:rPr>
          <w:rFonts w:ascii="Calibri" w:hAnsi="Calibri"/>
        </w:rPr>
      </w:pPr>
    </w:p>
    <w:p w:rsidR="004F5CBA" w:rsidRDefault="004F5CBA" w:rsidP="00050504">
      <w:pPr>
        <w:spacing w:line="276" w:lineRule="auto"/>
        <w:jc w:val="both"/>
        <w:rPr>
          <w:rFonts w:ascii="Calibri" w:hAnsi="Calibri"/>
        </w:rPr>
      </w:pPr>
    </w:p>
    <w:p w:rsidR="004F5CBA" w:rsidRDefault="004F5CBA" w:rsidP="00050504">
      <w:pPr>
        <w:spacing w:line="276" w:lineRule="auto"/>
        <w:jc w:val="both"/>
        <w:rPr>
          <w:rFonts w:ascii="Calibri" w:hAnsi="Calibri"/>
        </w:rPr>
      </w:pPr>
    </w:p>
    <w:p w:rsidR="004F5CBA" w:rsidRDefault="004F5CBA" w:rsidP="00050504">
      <w:pPr>
        <w:spacing w:line="276" w:lineRule="auto"/>
        <w:jc w:val="both"/>
        <w:rPr>
          <w:rFonts w:ascii="Calibri" w:hAnsi="Calibri"/>
        </w:rPr>
      </w:pPr>
    </w:p>
    <w:p w:rsidR="004F5CBA" w:rsidRDefault="004F5CBA" w:rsidP="00050504">
      <w:pPr>
        <w:spacing w:line="276" w:lineRule="auto"/>
        <w:jc w:val="both"/>
        <w:rPr>
          <w:rFonts w:ascii="Calibri" w:hAnsi="Calibri"/>
        </w:rPr>
      </w:pPr>
    </w:p>
    <w:p w:rsidR="004F5CBA" w:rsidRDefault="004F5CBA" w:rsidP="00050504">
      <w:pPr>
        <w:spacing w:line="276" w:lineRule="auto"/>
        <w:jc w:val="both"/>
        <w:rPr>
          <w:rFonts w:ascii="Calibri" w:hAnsi="Calibri"/>
        </w:rPr>
      </w:pPr>
    </w:p>
    <w:p w:rsidR="004F5CBA" w:rsidRDefault="004F5CBA" w:rsidP="00050504">
      <w:pPr>
        <w:spacing w:line="276" w:lineRule="auto"/>
        <w:jc w:val="both"/>
        <w:rPr>
          <w:rFonts w:ascii="Calibri" w:hAnsi="Calibri"/>
        </w:rPr>
      </w:pPr>
    </w:p>
    <w:p w:rsidR="004F5CBA" w:rsidRDefault="004F5CBA" w:rsidP="00050504">
      <w:pPr>
        <w:spacing w:line="276" w:lineRule="auto"/>
        <w:jc w:val="both"/>
        <w:rPr>
          <w:rFonts w:ascii="Calibri" w:hAnsi="Calibri"/>
        </w:rPr>
      </w:pPr>
    </w:p>
    <w:p w:rsidR="004F5CBA" w:rsidRDefault="004F5CBA" w:rsidP="00050504">
      <w:pPr>
        <w:spacing w:line="276" w:lineRule="auto"/>
        <w:jc w:val="both"/>
        <w:rPr>
          <w:rFonts w:ascii="Calibri" w:hAnsi="Calibri"/>
        </w:rPr>
      </w:pPr>
    </w:p>
    <w:p w:rsidR="00486079" w:rsidRDefault="00486079" w:rsidP="00050504">
      <w:pPr>
        <w:spacing w:line="276" w:lineRule="auto"/>
        <w:jc w:val="both"/>
        <w:rPr>
          <w:rFonts w:ascii="Calibri" w:hAnsi="Calibri"/>
        </w:rPr>
      </w:pPr>
    </w:p>
    <w:p w:rsidR="004F5CBA" w:rsidRDefault="004F5CBA" w:rsidP="00050504">
      <w:pPr>
        <w:spacing w:line="276" w:lineRule="auto"/>
        <w:jc w:val="both"/>
        <w:rPr>
          <w:rFonts w:ascii="Calibri" w:hAnsi="Calibri"/>
        </w:rPr>
      </w:pPr>
    </w:p>
    <w:p w:rsidR="004F5CBA" w:rsidRDefault="004F5CBA" w:rsidP="00050504">
      <w:pPr>
        <w:spacing w:line="276" w:lineRule="auto"/>
        <w:jc w:val="both"/>
        <w:rPr>
          <w:rFonts w:ascii="Calibri" w:hAnsi="Calibri"/>
        </w:rPr>
      </w:pPr>
    </w:p>
    <w:p w:rsidR="004F5CBA" w:rsidRDefault="004F5CBA" w:rsidP="00050504">
      <w:pPr>
        <w:spacing w:line="276" w:lineRule="auto"/>
        <w:jc w:val="both"/>
        <w:rPr>
          <w:rFonts w:ascii="Calibri" w:hAnsi="Calibri"/>
        </w:rPr>
      </w:pPr>
    </w:p>
    <w:p w:rsidR="004F5CBA" w:rsidRPr="00077265" w:rsidRDefault="00D34D9E" w:rsidP="00050504">
      <w:pPr>
        <w:spacing w:line="276" w:lineRule="auto"/>
        <w:jc w:val="both"/>
        <w:rPr>
          <w:rFonts w:ascii="Calibri" w:hAnsi="Calibri"/>
          <w:b/>
        </w:rPr>
      </w:pPr>
      <w:r w:rsidRPr="00077265">
        <w:rPr>
          <w:rFonts w:ascii="Calibri" w:hAnsi="Calibri"/>
          <w:b/>
        </w:rPr>
        <w:lastRenderedPageBreak/>
        <w:t>UVOD</w:t>
      </w:r>
    </w:p>
    <w:p w:rsidR="00D34D9E" w:rsidRDefault="00D34D9E" w:rsidP="00050504">
      <w:pPr>
        <w:spacing w:line="276" w:lineRule="auto"/>
        <w:jc w:val="both"/>
        <w:rPr>
          <w:rFonts w:ascii="Calibri" w:hAnsi="Calibri"/>
        </w:rPr>
      </w:pPr>
    </w:p>
    <w:p w:rsidR="00D34D9E" w:rsidRDefault="00D34D9E" w:rsidP="00050504">
      <w:pPr>
        <w:spacing w:line="276" w:lineRule="auto"/>
        <w:jc w:val="both"/>
        <w:rPr>
          <w:rFonts w:asciiTheme="minorHAnsi" w:hAnsiTheme="minorHAnsi"/>
        </w:rPr>
      </w:pPr>
      <w:r w:rsidRPr="004A7B20">
        <w:rPr>
          <w:rFonts w:asciiTheme="minorHAnsi" w:hAnsiTheme="minorHAnsi"/>
        </w:rPr>
        <w:t xml:space="preserve">Sukladno </w:t>
      </w:r>
      <w:r w:rsidR="004A7B20" w:rsidRPr="004A7B20">
        <w:rPr>
          <w:rFonts w:asciiTheme="minorHAnsi" w:hAnsiTheme="minorHAnsi"/>
        </w:rPr>
        <w:t>Pravilniku o financijskom izvještavanju u proračunskom računovodstvu</w:t>
      </w:r>
      <w:r w:rsidRPr="004A7B20">
        <w:rPr>
          <w:rFonts w:asciiTheme="minorHAnsi" w:hAnsiTheme="minorHAnsi"/>
        </w:rPr>
        <w:t>, Bilješ</w:t>
      </w:r>
      <w:r w:rsidR="004A7B20">
        <w:rPr>
          <w:rFonts w:asciiTheme="minorHAnsi" w:hAnsiTheme="minorHAnsi"/>
        </w:rPr>
        <w:t xml:space="preserve">ke uz financijske izvještaje </w:t>
      </w:r>
      <w:r w:rsidRPr="004A7B20">
        <w:rPr>
          <w:rFonts w:asciiTheme="minorHAnsi" w:hAnsiTheme="minorHAnsi"/>
        </w:rPr>
        <w:t xml:space="preserve">sastavni </w:t>
      </w:r>
      <w:r w:rsidR="004A7B20">
        <w:rPr>
          <w:rFonts w:asciiTheme="minorHAnsi" w:hAnsiTheme="minorHAnsi"/>
        </w:rPr>
        <w:t xml:space="preserve">su </w:t>
      </w:r>
      <w:r w:rsidRPr="004A7B20">
        <w:rPr>
          <w:rFonts w:asciiTheme="minorHAnsi" w:hAnsiTheme="minorHAnsi"/>
        </w:rPr>
        <w:t xml:space="preserve">dio </w:t>
      </w:r>
      <w:r w:rsidR="004A7B20">
        <w:rPr>
          <w:rFonts w:asciiTheme="minorHAnsi" w:hAnsiTheme="minorHAnsi"/>
        </w:rPr>
        <w:t>f</w:t>
      </w:r>
      <w:r w:rsidR="004A7B20" w:rsidRPr="004A7B20">
        <w:rPr>
          <w:rFonts w:asciiTheme="minorHAnsi" w:hAnsiTheme="minorHAnsi"/>
        </w:rPr>
        <w:t>inancijskih izvještaja proračunskih i izvanproračunskih korisnika proračuna jedinica lokalne i područne (regionalne) samouprave.</w:t>
      </w:r>
    </w:p>
    <w:p w:rsidR="00B64C5A" w:rsidRDefault="00B64C5A" w:rsidP="00050504">
      <w:pPr>
        <w:spacing w:line="276" w:lineRule="auto"/>
        <w:jc w:val="both"/>
        <w:rPr>
          <w:rFonts w:asciiTheme="minorHAnsi" w:hAnsiTheme="minorHAnsi"/>
        </w:rPr>
      </w:pPr>
    </w:p>
    <w:p w:rsidR="00B64C5A" w:rsidRPr="004A7B20" w:rsidRDefault="00B64C5A" w:rsidP="00050504">
      <w:p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Financijska izvješća Razvojne agencije VTA za razdoblje 01.01.2015. do 31.12.2015. godine izrađena su sukladno </w:t>
      </w:r>
      <w:r w:rsidR="0098307B">
        <w:rPr>
          <w:rFonts w:asciiTheme="minorHAnsi" w:hAnsiTheme="minorHAnsi"/>
        </w:rPr>
        <w:t xml:space="preserve">navedenom </w:t>
      </w:r>
      <w:r>
        <w:rPr>
          <w:rFonts w:asciiTheme="minorHAnsi" w:hAnsiTheme="minorHAnsi"/>
        </w:rPr>
        <w:t>Pravilniku, sukladno Zakonu o proračunu te ostalim zakonima Republike Hrvatske.</w:t>
      </w:r>
    </w:p>
    <w:p w:rsidR="004F5CBA" w:rsidRPr="004A7B20" w:rsidRDefault="004F5CBA" w:rsidP="00050504">
      <w:pPr>
        <w:spacing w:line="276" w:lineRule="auto"/>
        <w:jc w:val="both"/>
        <w:rPr>
          <w:rFonts w:asciiTheme="minorHAnsi" w:hAnsiTheme="minorHAnsi"/>
        </w:rPr>
      </w:pPr>
    </w:p>
    <w:p w:rsidR="00B64C5A" w:rsidRDefault="00B64C5A" w:rsidP="00050504">
      <w:pPr>
        <w:spacing w:line="276" w:lineRule="auto"/>
        <w:jc w:val="both"/>
        <w:rPr>
          <w:rFonts w:ascii="Calibri" w:hAnsi="Calibri"/>
        </w:rPr>
      </w:pPr>
    </w:p>
    <w:p w:rsidR="004F5CBA" w:rsidRPr="00077265" w:rsidRDefault="00B64C5A" w:rsidP="00050504">
      <w:pPr>
        <w:spacing w:line="276" w:lineRule="auto"/>
        <w:jc w:val="both"/>
        <w:rPr>
          <w:rFonts w:ascii="Calibri" w:hAnsi="Calibri"/>
          <w:b/>
        </w:rPr>
      </w:pPr>
      <w:r w:rsidRPr="00077265">
        <w:rPr>
          <w:rFonts w:ascii="Calibri" w:hAnsi="Calibri"/>
          <w:b/>
        </w:rPr>
        <w:t xml:space="preserve">I. </w:t>
      </w:r>
      <w:r w:rsidR="004F5CBA" w:rsidRPr="00077265">
        <w:rPr>
          <w:rFonts w:ascii="Calibri" w:hAnsi="Calibri"/>
          <w:b/>
        </w:rPr>
        <w:t xml:space="preserve">OSNOVNI PODACI </w:t>
      </w:r>
      <w:r w:rsidR="00050504" w:rsidRPr="00077265">
        <w:rPr>
          <w:rFonts w:ascii="Calibri" w:hAnsi="Calibri"/>
          <w:b/>
        </w:rPr>
        <w:t>O RAZVOJNOJ AGENCIJI VTA</w:t>
      </w:r>
    </w:p>
    <w:p w:rsidR="004F5CBA" w:rsidRPr="00B64C5A" w:rsidRDefault="004F5CBA" w:rsidP="00050504">
      <w:pPr>
        <w:spacing w:line="276" w:lineRule="auto"/>
        <w:jc w:val="both"/>
        <w:rPr>
          <w:rFonts w:asciiTheme="minorHAnsi" w:hAnsiTheme="minorHAnsi"/>
        </w:rPr>
      </w:pPr>
    </w:p>
    <w:p w:rsidR="00B64C5A" w:rsidRPr="00B64C5A" w:rsidRDefault="00B64C5A" w:rsidP="00050504">
      <w:pPr>
        <w:spacing w:line="276" w:lineRule="auto"/>
        <w:jc w:val="both"/>
        <w:rPr>
          <w:rFonts w:asciiTheme="minorHAnsi" w:hAnsiTheme="minorHAnsi"/>
        </w:rPr>
      </w:pPr>
      <w:r w:rsidRPr="00B64C5A">
        <w:rPr>
          <w:rFonts w:asciiTheme="minorHAnsi" w:hAnsiTheme="minorHAnsi"/>
        </w:rPr>
        <w:t>Razvojna agencija VTA osnovana je Odlukom gradskog vijeća Grada Virovitice te je prva lokalna razvojna agencija u Republici Hrvatskoj koja je registrirana kao ustanova. Osnivač i vlasnik Razvojne agencije VTA je Grad Virovitica te je sukladno tome glavna zadaća Agencije raditi u interesu osnivača kroz izradu i implementaciju razvojnih projekata i ostalih strateških dokumenata. Osim toga, djelatnosti Razvojne agencije VTA uključuju i pisanje projekata za ustanove i poduzeća kojima je osnivač Grad Virovitica kao i za organizacije civilnog društva koje djeluju na području grada Virovitice.</w:t>
      </w:r>
    </w:p>
    <w:p w:rsidR="00B64C5A" w:rsidRPr="00050504" w:rsidRDefault="00B64C5A" w:rsidP="00050504">
      <w:pPr>
        <w:spacing w:line="276" w:lineRule="auto"/>
        <w:jc w:val="both"/>
        <w:rPr>
          <w:rFonts w:asciiTheme="minorHAnsi" w:hAnsiTheme="minorHAnsi"/>
        </w:rPr>
      </w:pPr>
    </w:p>
    <w:p w:rsidR="00050504" w:rsidRPr="00050504" w:rsidRDefault="00050504" w:rsidP="0005050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u w:val="single"/>
        </w:rPr>
      </w:pPr>
      <w:r w:rsidRPr="00050504">
        <w:rPr>
          <w:rFonts w:asciiTheme="minorHAnsi" w:hAnsiTheme="minorHAnsi"/>
          <w:u w:val="single"/>
        </w:rPr>
        <w:t xml:space="preserve">Djelatnosti Razvojne agencije VTA: </w:t>
      </w:r>
    </w:p>
    <w:p w:rsidR="00050504" w:rsidRPr="00050504" w:rsidRDefault="00050504" w:rsidP="00050504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/>
          <w:szCs w:val="24"/>
        </w:rPr>
      </w:pPr>
      <w:r w:rsidRPr="00050504">
        <w:rPr>
          <w:rFonts w:asciiTheme="minorHAnsi" w:hAnsiTheme="minorHAnsi"/>
          <w:szCs w:val="24"/>
        </w:rPr>
        <w:t>Izrada programa i projekata za urbanu i ruralnu sredinu putem sustava poduzetništva i gospodarstva</w:t>
      </w:r>
    </w:p>
    <w:p w:rsidR="00050504" w:rsidRPr="00050504" w:rsidRDefault="00050504" w:rsidP="00050504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/>
          <w:szCs w:val="24"/>
        </w:rPr>
      </w:pPr>
      <w:r w:rsidRPr="00050504">
        <w:rPr>
          <w:rFonts w:asciiTheme="minorHAnsi" w:hAnsiTheme="minorHAnsi"/>
          <w:szCs w:val="24"/>
        </w:rPr>
        <w:t>Stvaranje lokalnih mreža</w:t>
      </w:r>
    </w:p>
    <w:p w:rsidR="00050504" w:rsidRPr="00050504" w:rsidRDefault="00050504" w:rsidP="00050504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/>
          <w:szCs w:val="24"/>
        </w:rPr>
      </w:pPr>
      <w:r w:rsidRPr="00050504">
        <w:rPr>
          <w:rFonts w:asciiTheme="minorHAnsi" w:hAnsiTheme="minorHAnsi"/>
          <w:szCs w:val="24"/>
        </w:rPr>
        <w:t>Promocija Grada Virovitice (lokalne zajednice)</w:t>
      </w:r>
    </w:p>
    <w:p w:rsidR="00050504" w:rsidRPr="00050504" w:rsidRDefault="00050504" w:rsidP="00050504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/>
          <w:szCs w:val="24"/>
        </w:rPr>
      </w:pPr>
      <w:r w:rsidRPr="00050504">
        <w:rPr>
          <w:rFonts w:asciiTheme="minorHAnsi" w:hAnsiTheme="minorHAnsi"/>
          <w:szCs w:val="24"/>
        </w:rPr>
        <w:t xml:space="preserve">Potpora razvojnim programima uključujući i javno-privatna partnerstva, direktne investicije, </w:t>
      </w:r>
      <w:proofErr w:type="spellStart"/>
      <w:r w:rsidRPr="00050504">
        <w:rPr>
          <w:rFonts w:asciiTheme="minorHAnsi" w:hAnsiTheme="minorHAnsi"/>
          <w:szCs w:val="24"/>
        </w:rPr>
        <w:t>joint</w:t>
      </w:r>
      <w:proofErr w:type="spellEnd"/>
      <w:r w:rsidRPr="00050504">
        <w:rPr>
          <w:rFonts w:asciiTheme="minorHAnsi" w:hAnsiTheme="minorHAnsi"/>
          <w:szCs w:val="24"/>
        </w:rPr>
        <w:t xml:space="preserve"> – </w:t>
      </w:r>
      <w:proofErr w:type="spellStart"/>
      <w:r w:rsidRPr="00050504">
        <w:rPr>
          <w:rFonts w:asciiTheme="minorHAnsi" w:hAnsiTheme="minorHAnsi"/>
          <w:szCs w:val="24"/>
        </w:rPr>
        <w:t>venture</w:t>
      </w:r>
      <w:proofErr w:type="spellEnd"/>
      <w:r w:rsidRPr="00050504">
        <w:rPr>
          <w:rFonts w:asciiTheme="minorHAnsi" w:hAnsiTheme="minorHAnsi"/>
          <w:szCs w:val="24"/>
        </w:rPr>
        <w:t xml:space="preserve"> inicijative</w:t>
      </w:r>
    </w:p>
    <w:p w:rsidR="00050504" w:rsidRPr="00050504" w:rsidRDefault="00050504" w:rsidP="00050504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/>
          <w:szCs w:val="24"/>
        </w:rPr>
      </w:pPr>
      <w:r w:rsidRPr="00050504">
        <w:rPr>
          <w:rFonts w:asciiTheme="minorHAnsi" w:hAnsiTheme="minorHAnsi"/>
          <w:szCs w:val="24"/>
        </w:rPr>
        <w:t xml:space="preserve">Suradnja sa financijskim institucijama </w:t>
      </w:r>
    </w:p>
    <w:p w:rsidR="00050504" w:rsidRPr="00050504" w:rsidRDefault="00050504" w:rsidP="00050504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/>
          <w:szCs w:val="24"/>
        </w:rPr>
      </w:pPr>
      <w:r w:rsidRPr="00050504">
        <w:rPr>
          <w:rFonts w:asciiTheme="minorHAnsi" w:hAnsiTheme="minorHAnsi"/>
          <w:szCs w:val="24"/>
        </w:rPr>
        <w:t>Privlačenje direktnih stranih investicija</w:t>
      </w:r>
    </w:p>
    <w:p w:rsidR="00050504" w:rsidRPr="00050504" w:rsidRDefault="00050504" w:rsidP="00050504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/>
          <w:szCs w:val="24"/>
        </w:rPr>
      </w:pPr>
      <w:r w:rsidRPr="00050504">
        <w:rPr>
          <w:rFonts w:asciiTheme="minorHAnsi" w:hAnsiTheme="minorHAnsi"/>
          <w:szCs w:val="24"/>
        </w:rPr>
        <w:t>Izgrađivanje institucionalnih kapaciteta</w:t>
      </w:r>
    </w:p>
    <w:p w:rsidR="00050504" w:rsidRPr="00050504" w:rsidRDefault="00050504" w:rsidP="00050504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/>
          <w:szCs w:val="24"/>
        </w:rPr>
      </w:pPr>
      <w:r w:rsidRPr="00050504">
        <w:rPr>
          <w:rFonts w:asciiTheme="minorHAnsi" w:hAnsiTheme="minorHAnsi"/>
          <w:szCs w:val="24"/>
        </w:rPr>
        <w:t>Pružanje tehničke pomoći lokalnim vlastima u izradi projektnih prijedloga za financiranje kroz EU fondove i ostale natječaje</w:t>
      </w:r>
    </w:p>
    <w:p w:rsidR="00050504" w:rsidRPr="00050504" w:rsidRDefault="00050504" w:rsidP="00050504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/>
          <w:szCs w:val="24"/>
        </w:rPr>
      </w:pPr>
      <w:r w:rsidRPr="00050504">
        <w:rPr>
          <w:rFonts w:asciiTheme="minorHAnsi" w:hAnsiTheme="minorHAnsi"/>
          <w:szCs w:val="24"/>
        </w:rPr>
        <w:t>Ispitivanje tržišta i javnog mijenja</w:t>
      </w:r>
    </w:p>
    <w:p w:rsidR="00050504" w:rsidRPr="00050504" w:rsidRDefault="00050504" w:rsidP="00050504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/>
          <w:szCs w:val="24"/>
        </w:rPr>
      </w:pPr>
      <w:r w:rsidRPr="00050504">
        <w:rPr>
          <w:rFonts w:asciiTheme="minorHAnsi" w:hAnsiTheme="minorHAnsi"/>
          <w:szCs w:val="24"/>
        </w:rPr>
        <w:t>Izrada studije izvedivosti, poslovnih planova i investicijskih elaborata</w:t>
      </w:r>
    </w:p>
    <w:p w:rsidR="00050504" w:rsidRPr="00050504" w:rsidRDefault="00050504" w:rsidP="00050504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/>
          <w:szCs w:val="24"/>
        </w:rPr>
      </w:pPr>
      <w:r w:rsidRPr="00050504">
        <w:rPr>
          <w:rFonts w:asciiTheme="minorHAnsi" w:hAnsiTheme="minorHAnsi"/>
          <w:szCs w:val="24"/>
        </w:rPr>
        <w:t>Pružanje tehničke i savjetodavne pomoći</w:t>
      </w:r>
    </w:p>
    <w:p w:rsidR="00050504" w:rsidRPr="00050504" w:rsidRDefault="00050504" w:rsidP="00050504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/>
          <w:szCs w:val="24"/>
        </w:rPr>
      </w:pPr>
      <w:r w:rsidRPr="00050504">
        <w:rPr>
          <w:rFonts w:asciiTheme="minorHAnsi" w:hAnsiTheme="minorHAnsi"/>
          <w:szCs w:val="24"/>
        </w:rPr>
        <w:t>Provođenje specijalističkih edukativnih programa</w:t>
      </w:r>
    </w:p>
    <w:p w:rsidR="00050504" w:rsidRPr="00050504" w:rsidRDefault="00050504" w:rsidP="00050504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/>
          <w:szCs w:val="24"/>
        </w:rPr>
      </w:pPr>
      <w:r w:rsidRPr="00050504">
        <w:rPr>
          <w:rFonts w:asciiTheme="minorHAnsi" w:hAnsiTheme="minorHAnsi"/>
          <w:szCs w:val="24"/>
        </w:rPr>
        <w:t>Promidžba</w:t>
      </w:r>
    </w:p>
    <w:p w:rsidR="00050504" w:rsidRPr="00050504" w:rsidRDefault="00050504" w:rsidP="00050504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/>
          <w:szCs w:val="24"/>
        </w:rPr>
      </w:pPr>
      <w:r w:rsidRPr="00050504">
        <w:rPr>
          <w:rFonts w:asciiTheme="minorHAnsi" w:hAnsiTheme="minorHAnsi"/>
          <w:szCs w:val="24"/>
        </w:rPr>
        <w:lastRenderedPageBreak/>
        <w:t>Izrada i ažuriranje strateških planova</w:t>
      </w:r>
    </w:p>
    <w:p w:rsidR="00050504" w:rsidRPr="00050504" w:rsidRDefault="00050504" w:rsidP="00050504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/>
          <w:szCs w:val="24"/>
        </w:rPr>
      </w:pPr>
      <w:r w:rsidRPr="00050504">
        <w:rPr>
          <w:rFonts w:asciiTheme="minorHAnsi" w:hAnsiTheme="minorHAnsi"/>
          <w:szCs w:val="24"/>
        </w:rPr>
        <w:t>Poslovi u vezi s izgradnjom i prodajom stanova u okviru društveno poticajne stanogradnje na području Grada Virovitice sukladno propisima kojima se uređuje društveno poticajna stanogradnja</w:t>
      </w:r>
    </w:p>
    <w:p w:rsidR="00050504" w:rsidRPr="00050504" w:rsidRDefault="00050504" w:rsidP="00050504">
      <w:pPr>
        <w:spacing w:line="276" w:lineRule="auto"/>
        <w:jc w:val="both"/>
        <w:rPr>
          <w:rFonts w:asciiTheme="minorHAnsi" w:hAnsiTheme="minorHAnsi"/>
        </w:rPr>
      </w:pPr>
    </w:p>
    <w:p w:rsidR="00050504" w:rsidRPr="00050504" w:rsidRDefault="00050504" w:rsidP="00050504">
      <w:pPr>
        <w:spacing w:line="276" w:lineRule="auto"/>
        <w:jc w:val="both"/>
        <w:rPr>
          <w:rFonts w:asciiTheme="minorHAnsi" w:hAnsiTheme="minorHAnsi"/>
          <w:u w:val="single"/>
        </w:rPr>
      </w:pPr>
      <w:r w:rsidRPr="00050504">
        <w:rPr>
          <w:rFonts w:asciiTheme="minorHAnsi" w:hAnsiTheme="minorHAnsi"/>
          <w:u w:val="single"/>
        </w:rPr>
        <w:t xml:space="preserve">Misija: </w:t>
      </w:r>
    </w:p>
    <w:p w:rsidR="00050504" w:rsidRPr="00050504" w:rsidRDefault="00050504" w:rsidP="00050504">
      <w:pPr>
        <w:spacing w:line="276" w:lineRule="auto"/>
        <w:jc w:val="both"/>
        <w:rPr>
          <w:rFonts w:asciiTheme="minorHAnsi" w:hAnsiTheme="minorHAnsi"/>
        </w:rPr>
      </w:pPr>
      <w:r w:rsidRPr="00050504">
        <w:rPr>
          <w:rFonts w:asciiTheme="minorHAnsi" w:hAnsiTheme="minorHAnsi"/>
        </w:rPr>
        <w:t xml:space="preserve">Svojim djelovanjem kroz pripremu, prijavu i provedbu projekata te suradnju  s resornim ministarstvima i institucijama EU doprinijeti stvaranju kapaciteta za rast i razvoj grada Virovitice. U skladu s tim, cilj je objediniti djelovanje javnih i gospodarskih subjekata radi ostvarivanja rasta i razvoja ljudskih potencijala, gospodarstva, podizanja kvalitete života, zaštite okoliša te promoviranja prirodnih, kulturnih i turističkih potencijala grada Virovitice. </w:t>
      </w:r>
    </w:p>
    <w:p w:rsidR="00050504" w:rsidRPr="00050504" w:rsidRDefault="00050504" w:rsidP="00050504">
      <w:pPr>
        <w:spacing w:line="276" w:lineRule="auto"/>
        <w:jc w:val="both"/>
        <w:rPr>
          <w:rFonts w:asciiTheme="minorHAnsi" w:hAnsiTheme="minorHAnsi"/>
        </w:rPr>
      </w:pPr>
    </w:p>
    <w:p w:rsidR="00050504" w:rsidRPr="00050504" w:rsidRDefault="00050504" w:rsidP="00050504">
      <w:pPr>
        <w:spacing w:line="276" w:lineRule="auto"/>
        <w:jc w:val="both"/>
        <w:rPr>
          <w:rFonts w:asciiTheme="minorHAnsi" w:hAnsiTheme="minorHAnsi"/>
          <w:u w:val="single"/>
        </w:rPr>
      </w:pPr>
      <w:r w:rsidRPr="00050504">
        <w:rPr>
          <w:rFonts w:asciiTheme="minorHAnsi" w:hAnsiTheme="minorHAnsi"/>
          <w:u w:val="single"/>
        </w:rPr>
        <w:t>Vizija:</w:t>
      </w:r>
    </w:p>
    <w:p w:rsidR="00050504" w:rsidRPr="00050504" w:rsidRDefault="00050504" w:rsidP="00050504">
      <w:pPr>
        <w:spacing w:line="276" w:lineRule="auto"/>
        <w:jc w:val="both"/>
        <w:rPr>
          <w:rFonts w:asciiTheme="minorHAnsi" w:hAnsiTheme="minorHAnsi"/>
        </w:rPr>
      </w:pPr>
      <w:r w:rsidRPr="00050504">
        <w:rPr>
          <w:rFonts w:asciiTheme="minorHAnsi" w:hAnsiTheme="minorHAnsi"/>
        </w:rPr>
        <w:t>Postati vodeća potporna institucija lokalnom razvoju koja kroz suradnju s poduzetnicima, lokalnom samoupravom i institucijama doprinosi ostvarenju gospodarskog i ukupnog rasta te održivog razvoja.</w:t>
      </w:r>
    </w:p>
    <w:p w:rsidR="00050504" w:rsidRPr="00050504" w:rsidRDefault="00050504" w:rsidP="00050504">
      <w:pPr>
        <w:spacing w:line="276" w:lineRule="auto"/>
        <w:jc w:val="both"/>
        <w:rPr>
          <w:rFonts w:asciiTheme="minorHAnsi" w:hAnsiTheme="minorHAnsi"/>
        </w:rPr>
      </w:pPr>
    </w:p>
    <w:p w:rsidR="00050504" w:rsidRDefault="00050504" w:rsidP="00050504">
      <w:pPr>
        <w:spacing w:line="276" w:lineRule="auto"/>
        <w:jc w:val="both"/>
        <w:rPr>
          <w:rFonts w:asciiTheme="minorHAnsi" w:hAnsiTheme="minorHAnsi"/>
          <w:u w:val="single"/>
        </w:rPr>
      </w:pPr>
      <w:r w:rsidRPr="00050504">
        <w:rPr>
          <w:rFonts w:asciiTheme="minorHAnsi" w:hAnsiTheme="minorHAnsi"/>
          <w:u w:val="single"/>
        </w:rPr>
        <w:t>Opći podaci</w:t>
      </w:r>
      <w:r>
        <w:rPr>
          <w:rFonts w:asciiTheme="minorHAnsi" w:hAnsiTheme="minorHAnsi"/>
          <w:u w:val="single"/>
        </w:rPr>
        <w:t xml:space="preserve"> uz financijska izvješća</w:t>
      </w:r>
      <w:r w:rsidRPr="00050504">
        <w:rPr>
          <w:rFonts w:asciiTheme="minorHAnsi" w:hAnsiTheme="minorHAnsi"/>
          <w:u w:val="single"/>
        </w:rPr>
        <w:t>:</w:t>
      </w:r>
    </w:p>
    <w:p w:rsidR="00927382" w:rsidRDefault="00927382" w:rsidP="00050504">
      <w:pPr>
        <w:spacing w:line="276" w:lineRule="auto"/>
        <w:jc w:val="both"/>
        <w:rPr>
          <w:rFonts w:asciiTheme="minorHAnsi" w:hAnsiTheme="minorHAnsi"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30"/>
        <w:gridCol w:w="2977"/>
      </w:tblGrid>
      <w:tr w:rsidR="00050504" w:rsidTr="00927382">
        <w:tc>
          <w:tcPr>
            <w:tcW w:w="2830" w:type="dxa"/>
          </w:tcPr>
          <w:p w:rsidR="00050504" w:rsidRDefault="00050504" w:rsidP="00050504">
            <w:pPr>
              <w:spacing w:line="276" w:lineRule="auto"/>
              <w:jc w:val="both"/>
              <w:rPr>
                <w:rFonts w:asciiTheme="minorHAnsi" w:hAnsiTheme="minorHAnsi"/>
                <w:u w:val="single"/>
              </w:rPr>
            </w:pPr>
            <w:r w:rsidRPr="00050504">
              <w:rPr>
                <w:rFonts w:asciiTheme="minorHAnsi" w:hAnsiTheme="minorHAnsi"/>
              </w:rPr>
              <w:t>Naziv obveznika:</w:t>
            </w:r>
          </w:p>
        </w:tc>
        <w:tc>
          <w:tcPr>
            <w:tcW w:w="2977" w:type="dxa"/>
          </w:tcPr>
          <w:p w:rsidR="00050504" w:rsidRDefault="00050504" w:rsidP="00050504">
            <w:pPr>
              <w:spacing w:line="276" w:lineRule="auto"/>
              <w:jc w:val="both"/>
              <w:rPr>
                <w:rFonts w:asciiTheme="minorHAnsi" w:hAnsiTheme="minorHAnsi"/>
                <w:u w:val="single"/>
              </w:rPr>
            </w:pPr>
            <w:r w:rsidRPr="00050504">
              <w:rPr>
                <w:rFonts w:asciiTheme="minorHAnsi" w:hAnsiTheme="minorHAnsi"/>
              </w:rPr>
              <w:t>RAZVOJNA</w:t>
            </w:r>
            <w:r w:rsidRPr="004F5CBA">
              <w:rPr>
                <w:rFonts w:ascii="Calibri" w:hAnsi="Calibri"/>
              </w:rPr>
              <w:t xml:space="preserve"> AGENCIJA VTA</w:t>
            </w:r>
          </w:p>
        </w:tc>
      </w:tr>
      <w:tr w:rsidR="00050504" w:rsidTr="00927382">
        <w:tc>
          <w:tcPr>
            <w:tcW w:w="2830" w:type="dxa"/>
          </w:tcPr>
          <w:p w:rsidR="00050504" w:rsidRDefault="00050504" w:rsidP="00050504">
            <w:pPr>
              <w:spacing w:line="276" w:lineRule="auto"/>
              <w:jc w:val="both"/>
              <w:rPr>
                <w:rFonts w:asciiTheme="minorHAnsi" w:hAnsiTheme="minorHAnsi"/>
                <w:u w:val="single"/>
              </w:rPr>
            </w:pPr>
            <w:r w:rsidRPr="004F5CBA">
              <w:rPr>
                <w:rFonts w:ascii="Calibri" w:hAnsi="Calibri"/>
              </w:rPr>
              <w:t>Pošta i mjesto:</w:t>
            </w:r>
          </w:p>
        </w:tc>
        <w:tc>
          <w:tcPr>
            <w:tcW w:w="2977" w:type="dxa"/>
          </w:tcPr>
          <w:p w:rsidR="00050504" w:rsidRDefault="00050504" w:rsidP="00050504">
            <w:pPr>
              <w:spacing w:line="276" w:lineRule="auto"/>
              <w:jc w:val="both"/>
              <w:rPr>
                <w:rFonts w:asciiTheme="minorHAnsi" w:hAnsiTheme="minorHAnsi"/>
                <w:u w:val="single"/>
              </w:rPr>
            </w:pPr>
            <w:r w:rsidRPr="004F5CBA">
              <w:rPr>
                <w:rFonts w:ascii="Calibri" w:hAnsi="Calibri"/>
              </w:rPr>
              <w:t>33000 VIROVITICA</w:t>
            </w:r>
          </w:p>
        </w:tc>
      </w:tr>
      <w:tr w:rsidR="00050504" w:rsidTr="00927382">
        <w:tc>
          <w:tcPr>
            <w:tcW w:w="2830" w:type="dxa"/>
          </w:tcPr>
          <w:p w:rsidR="00050504" w:rsidRDefault="00050504" w:rsidP="00050504">
            <w:pPr>
              <w:spacing w:line="276" w:lineRule="auto"/>
              <w:jc w:val="both"/>
              <w:rPr>
                <w:rFonts w:asciiTheme="minorHAnsi" w:hAnsiTheme="minorHAnsi"/>
                <w:u w:val="single"/>
              </w:rPr>
            </w:pPr>
            <w:r w:rsidRPr="004F5CBA">
              <w:rPr>
                <w:rFonts w:ascii="Calibri" w:hAnsi="Calibri"/>
              </w:rPr>
              <w:t>Ulica i kućni broj:</w:t>
            </w:r>
          </w:p>
        </w:tc>
        <w:tc>
          <w:tcPr>
            <w:tcW w:w="2977" w:type="dxa"/>
          </w:tcPr>
          <w:p w:rsidR="00050504" w:rsidRPr="00050504" w:rsidRDefault="00927382" w:rsidP="00050504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="Calibri" w:hAnsi="Calibri"/>
              </w:rPr>
              <w:t>Trg bana Josipa Jelačića</w:t>
            </w:r>
            <w:r w:rsidR="00050504" w:rsidRPr="00050504">
              <w:rPr>
                <w:rFonts w:ascii="Calibri" w:hAnsi="Calibri"/>
              </w:rPr>
              <w:t xml:space="preserve"> 21</w:t>
            </w:r>
          </w:p>
        </w:tc>
      </w:tr>
      <w:tr w:rsidR="00050504" w:rsidTr="00927382">
        <w:tc>
          <w:tcPr>
            <w:tcW w:w="2830" w:type="dxa"/>
          </w:tcPr>
          <w:p w:rsidR="00050504" w:rsidRDefault="00050504" w:rsidP="00050504">
            <w:pPr>
              <w:spacing w:line="276" w:lineRule="auto"/>
              <w:jc w:val="both"/>
              <w:rPr>
                <w:rFonts w:asciiTheme="minorHAnsi" w:hAnsiTheme="minorHAnsi"/>
                <w:u w:val="single"/>
              </w:rPr>
            </w:pPr>
            <w:r w:rsidRPr="00050504">
              <w:rPr>
                <w:rFonts w:asciiTheme="minorHAnsi" w:hAnsiTheme="minorHAnsi"/>
              </w:rPr>
              <w:t>OIB:</w:t>
            </w:r>
          </w:p>
        </w:tc>
        <w:tc>
          <w:tcPr>
            <w:tcW w:w="2977" w:type="dxa"/>
          </w:tcPr>
          <w:p w:rsidR="00050504" w:rsidRPr="00050504" w:rsidRDefault="00050504" w:rsidP="00050504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050504">
              <w:rPr>
                <w:rFonts w:asciiTheme="minorHAnsi" w:hAnsiTheme="minorHAnsi"/>
              </w:rPr>
              <w:t>90566826087</w:t>
            </w:r>
          </w:p>
        </w:tc>
      </w:tr>
      <w:tr w:rsidR="00050504" w:rsidTr="00927382">
        <w:tc>
          <w:tcPr>
            <w:tcW w:w="2830" w:type="dxa"/>
          </w:tcPr>
          <w:p w:rsidR="00050504" w:rsidRDefault="00050504" w:rsidP="00050504">
            <w:pPr>
              <w:spacing w:line="276" w:lineRule="auto"/>
              <w:jc w:val="both"/>
              <w:rPr>
                <w:rFonts w:asciiTheme="minorHAnsi" w:hAnsiTheme="minorHAnsi"/>
                <w:u w:val="single"/>
              </w:rPr>
            </w:pPr>
            <w:r>
              <w:rPr>
                <w:rFonts w:ascii="Calibri" w:hAnsi="Calibri"/>
              </w:rPr>
              <w:t>IBAN</w:t>
            </w:r>
            <w:r w:rsidRPr="004F5CBA">
              <w:rPr>
                <w:rFonts w:ascii="Calibri" w:hAnsi="Calibri"/>
              </w:rPr>
              <w:t>:</w:t>
            </w:r>
          </w:p>
        </w:tc>
        <w:tc>
          <w:tcPr>
            <w:tcW w:w="2977" w:type="dxa"/>
          </w:tcPr>
          <w:p w:rsidR="00050504" w:rsidRPr="00050504" w:rsidRDefault="00050504" w:rsidP="00050504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050504">
              <w:rPr>
                <w:rFonts w:ascii="Calibri" w:hAnsi="Calibri"/>
              </w:rPr>
              <w:t>HR7723600001102393411</w:t>
            </w:r>
          </w:p>
        </w:tc>
      </w:tr>
      <w:tr w:rsidR="00050504" w:rsidTr="00927382">
        <w:tc>
          <w:tcPr>
            <w:tcW w:w="2830" w:type="dxa"/>
          </w:tcPr>
          <w:p w:rsidR="00050504" w:rsidRDefault="00050504" w:rsidP="00050504">
            <w:pPr>
              <w:spacing w:line="276" w:lineRule="auto"/>
              <w:jc w:val="both"/>
              <w:rPr>
                <w:rFonts w:asciiTheme="minorHAnsi" w:hAnsiTheme="minorHAnsi"/>
                <w:u w:val="single"/>
              </w:rPr>
            </w:pPr>
            <w:r w:rsidRPr="00050504">
              <w:rPr>
                <w:rFonts w:asciiTheme="minorHAnsi" w:hAnsiTheme="minorHAnsi"/>
              </w:rPr>
              <w:t>Broj RKP-a:</w:t>
            </w:r>
          </w:p>
        </w:tc>
        <w:tc>
          <w:tcPr>
            <w:tcW w:w="2977" w:type="dxa"/>
          </w:tcPr>
          <w:p w:rsidR="00050504" w:rsidRPr="00050504" w:rsidRDefault="00050504" w:rsidP="00050504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050504">
              <w:rPr>
                <w:rFonts w:asciiTheme="minorHAnsi" w:hAnsiTheme="minorHAnsi"/>
              </w:rPr>
              <w:t>48234</w:t>
            </w:r>
          </w:p>
        </w:tc>
      </w:tr>
      <w:tr w:rsidR="00050504" w:rsidTr="00927382">
        <w:tc>
          <w:tcPr>
            <w:tcW w:w="2830" w:type="dxa"/>
          </w:tcPr>
          <w:p w:rsidR="00050504" w:rsidRDefault="00050504" w:rsidP="00050504">
            <w:pPr>
              <w:spacing w:line="276" w:lineRule="auto"/>
              <w:jc w:val="both"/>
              <w:rPr>
                <w:rFonts w:asciiTheme="minorHAnsi" w:hAnsiTheme="minorHAnsi"/>
                <w:u w:val="single"/>
              </w:rPr>
            </w:pPr>
            <w:r w:rsidRPr="00050504">
              <w:rPr>
                <w:rFonts w:asciiTheme="minorHAnsi" w:hAnsiTheme="minorHAnsi"/>
              </w:rPr>
              <w:t>Matični broj:</w:t>
            </w:r>
          </w:p>
        </w:tc>
        <w:tc>
          <w:tcPr>
            <w:tcW w:w="2977" w:type="dxa"/>
          </w:tcPr>
          <w:p w:rsidR="00050504" w:rsidRPr="00050504" w:rsidRDefault="00050504" w:rsidP="00050504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050504">
              <w:rPr>
                <w:rFonts w:asciiTheme="minorHAnsi" w:hAnsiTheme="minorHAnsi"/>
              </w:rPr>
              <w:t>04148398</w:t>
            </w:r>
          </w:p>
        </w:tc>
      </w:tr>
      <w:tr w:rsidR="00050504" w:rsidTr="00927382">
        <w:tc>
          <w:tcPr>
            <w:tcW w:w="2830" w:type="dxa"/>
          </w:tcPr>
          <w:p w:rsidR="00050504" w:rsidRDefault="00050504" w:rsidP="00050504">
            <w:pPr>
              <w:spacing w:line="276" w:lineRule="auto"/>
              <w:jc w:val="both"/>
              <w:rPr>
                <w:rFonts w:asciiTheme="minorHAnsi" w:hAnsiTheme="minorHAnsi"/>
                <w:u w:val="single"/>
              </w:rPr>
            </w:pPr>
            <w:r w:rsidRPr="004F5CBA">
              <w:rPr>
                <w:rFonts w:ascii="Calibri" w:hAnsi="Calibri"/>
              </w:rPr>
              <w:t>Razina:</w:t>
            </w:r>
          </w:p>
        </w:tc>
        <w:tc>
          <w:tcPr>
            <w:tcW w:w="2977" w:type="dxa"/>
          </w:tcPr>
          <w:p w:rsidR="00050504" w:rsidRPr="00050504" w:rsidRDefault="00050504" w:rsidP="00050504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050504">
              <w:rPr>
                <w:rFonts w:ascii="Calibri" w:hAnsi="Calibri"/>
              </w:rPr>
              <w:t>21</w:t>
            </w:r>
          </w:p>
        </w:tc>
      </w:tr>
      <w:tr w:rsidR="00050504" w:rsidTr="00927382">
        <w:tc>
          <w:tcPr>
            <w:tcW w:w="2830" w:type="dxa"/>
          </w:tcPr>
          <w:p w:rsidR="00050504" w:rsidRDefault="00050504" w:rsidP="00050504">
            <w:pPr>
              <w:spacing w:line="276" w:lineRule="auto"/>
              <w:jc w:val="both"/>
              <w:rPr>
                <w:rFonts w:asciiTheme="minorHAnsi" w:hAnsiTheme="minorHAnsi"/>
                <w:u w:val="single"/>
              </w:rPr>
            </w:pPr>
            <w:r w:rsidRPr="004F5CBA">
              <w:rPr>
                <w:rFonts w:ascii="Calibri" w:hAnsi="Calibri"/>
              </w:rPr>
              <w:t>Šifra djelatnosti:</w:t>
            </w:r>
          </w:p>
        </w:tc>
        <w:tc>
          <w:tcPr>
            <w:tcW w:w="2977" w:type="dxa"/>
          </w:tcPr>
          <w:p w:rsidR="00050504" w:rsidRPr="00050504" w:rsidRDefault="00050504" w:rsidP="00050504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050504">
              <w:rPr>
                <w:rFonts w:asciiTheme="minorHAnsi" w:hAnsiTheme="minorHAnsi"/>
              </w:rPr>
              <w:t>7022</w:t>
            </w:r>
          </w:p>
        </w:tc>
      </w:tr>
      <w:tr w:rsidR="00050504" w:rsidTr="00927382">
        <w:tc>
          <w:tcPr>
            <w:tcW w:w="2830" w:type="dxa"/>
          </w:tcPr>
          <w:p w:rsidR="00050504" w:rsidRDefault="00050504" w:rsidP="00050504">
            <w:pPr>
              <w:spacing w:line="276" w:lineRule="auto"/>
              <w:jc w:val="both"/>
              <w:rPr>
                <w:rFonts w:asciiTheme="minorHAnsi" w:hAnsiTheme="minorHAnsi"/>
                <w:u w:val="single"/>
              </w:rPr>
            </w:pPr>
            <w:r w:rsidRPr="004F5CBA">
              <w:rPr>
                <w:rFonts w:ascii="Calibri" w:hAnsi="Calibri"/>
              </w:rPr>
              <w:t>Šifra grada:</w:t>
            </w:r>
          </w:p>
        </w:tc>
        <w:tc>
          <w:tcPr>
            <w:tcW w:w="2977" w:type="dxa"/>
          </w:tcPr>
          <w:p w:rsidR="00050504" w:rsidRPr="00050504" w:rsidRDefault="00050504" w:rsidP="00050504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050504">
              <w:rPr>
                <w:rFonts w:asciiTheme="minorHAnsi" w:hAnsiTheme="minorHAnsi"/>
              </w:rPr>
              <w:t>491</w:t>
            </w:r>
          </w:p>
        </w:tc>
      </w:tr>
      <w:tr w:rsidR="00050504" w:rsidTr="00927382">
        <w:tc>
          <w:tcPr>
            <w:tcW w:w="5807" w:type="dxa"/>
            <w:gridSpan w:val="2"/>
          </w:tcPr>
          <w:p w:rsidR="00050504" w:rsidRPr="00050504" w:rsidRDefault="00050504" w:rsidP="00050504">
            <w:pPr>
              <w:spacing w:line="276" w:lineRule="auto"/>
              <w:jc w:val="both"/>
              <w:rPr>
                <w:rFonts w:asciiTheme="minorHAnsi" w:hAnsiTheme="minorHAnsi"/>
              </w:rPr>
            </w:pPr>
          </w:p>
        </w:tc>
      </w:tr>
      <w:tr w:rsidR="00050504" w:rsidTr="00927382">
        <w:tc>
          <w:tcPr>
            <w:tcW w:w="2830" w:type="dxa"/>
          </w:tcPr>
          <w:p w:rsidR="00050504" w:rsidRDefault="00927382" w:rsidP="00050504">
            <w:pPr>
              <w:spacing w:line="276" w:lineRule="auto"/>
              <w:jc w:val="both"/>
              <w:rPr>
                <w:rFonts w:asciiTheme="minorHAnsi" w:hAnsiTheme="minorHAnsi"/>
                <w:u w:val="single"/>
              </w:rPr>
            </w:pPr>
            <w:r w:rsidRPr="004F5CBA">
              <w:rPr>
                <w:rFonts w:ascii="Calibri" w:hAnsi="Calibri"/>
              </w:rPr>
              <w:t>Osoba za kontaktiranje:</w:t>
            </w:r>
          </w:p>
        </w:tc>
        <w:tc>
          <w:tcPr>
            <w:tcW w:w="2977" w:type="dxa"/>
          </w:tcPr>
          <w:p w:rsidR="00050504" w:rsidRPr="00050504" w:rsidRDefault="00927382" w:rsidP="00050504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="Calibri" w:hAnsi="Calibri"/>
              </w:rPr>
              <w:t xml:space="preserve">Margareta </w:t>
            </w:r>
            <w:proofErr w:type="spellStart"/>
            <w:r>
              <w:rPr>
                <w:rFonts w:ascii="Calibri" w:hAnsi="Calibri"/>
              </w:rPr>
              <w:t>Ptiček</w:t>
            </w:r>
            <w:proofErr w:type="spellEnd"/>
          </w:p>
        </w:tc>
      </w:tr>
      <w:tr w:rsidR="00050504" w:rsidTr="00927382">
        <w:tc>
          <w:tcPr>
            <w:tcW w:w="2830" w:type="dxa"/>
          </w:tcPr>
          <w:p w:rsidR="00050504" w:rsidRDefault="00927382" w:rsidP="00050504">
            <w:pPr>
              <w:spacing w:line="276" w:lineRule="auto"/>
              <w:jc w:val="both"/>
              <w:rPr>
                <w:rFonts w:asciiTheme="minorHAnsi" w:hAnsiTheme="minorHAnsi"/>
                <w:u w:val="single"/>
              </w:rPr>
            </w:pPr>
            <w:r w:rsidRPr="004F5CBA">
              <w:rPr>
                <w:rFonts w:ascii="Calibri" w:hAnsi="Calibri"/>
              </w:rPr>
              <w:t>Telefon:</w:t>
            </w:r>
          </w:p>
        </w:tc>
        <w:tc>
          <w:tcPr>
            <w:tcW w:w="2977" w:type="dxa"/>
          </w:tcPr>
          <w:p w:rsidR="00050504" w:rsidRPr="00050504" w:rsidRDefault="00927382" w:rsidP="00050504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4F5CBA">
              <w:rPr>
                <w:rFonts w:ascii="Calibri" w:hAnsi="Calibri"/>
              </w:rPr>
              <w:t>033638882</w:t>
            </w:r>
          </w:p>
        </w:tc>
      </w:tr>
      <w:tr w:rsidR="00050504" w:rsidTr="00927382">
        <w:tc>
          <w:tcPr>
            <w:tcW w:w="2830" w:type="dxa"/>
          </w:tcPr>
          <w:p w:rsidR="00050504" w:rsidRDefault="00927382" w:rsidP="00050504">
            <w:pPr>
              <w:spacing w:line="276" w:lineRule="auto"/>
              <w:jc w:val="both"/>
              <w:rPr>
                <w:rFonts w:asciiTheme="minorHAnsi" w:hAnsiTheme="minorHAnsi"/>
                <w:u w:val="single"/>
              </w:rPr>
            </w:pPr>
            <w:proofErr w:type="spellStart"/>
            <w:r w:rsidRPr="004F5CBA">
              <w:rPr>
                <w:rFonts w:ascii="Calibri" w:hAnsi="Calibri"/>
              </w:rPr>
              <w:t>Telefax</w:t>
            </w:r>
            <w:proofErr w:type="spellEnd"/>
            <w:r w:rsidRPr="004F5CBA">
              <w:rPr>
                <w:rFonts w:ascii="Calibri" w:hAnsi="Calibri"/>
              </w:rPr>
              <w:t>:</w:t>
            </w:r>
          </w:p>
        </w:tc>
        <w:tc>
          <w:tcPr>
            <w:tcW w:w="2977" w:type="dxa"/>
          </w:tcPr>
          <w:p w:rsidR="00050504" w:rsidRPr="00050504" w:rsidRDefault="00927382" w:rsidP="00050504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4F5CBA">
              <w:rPr>
                <w:rFonts w:ascii="Calibri" w:hAnsi="Calibri"/>
              </w:rPr>
              <w:t>033638880</w:t>
            </w:r>
          </w:p>
        </w:tc>
      </w:tr>
      <w:tr w:rsidR="00050504" w:rsidTr="00927382">
        <w:tc>
          <w:tcPr>
            <w:tcW w:w="2830" w:type="dxa"/>
          </w:tcPr>
          <w:p w:rsidR="00050504" w:rsidRDefault="00927382" w:rsidP="00050504">
            <w:pPr>
              <w:spacing w:line="276" w:lineRule="auto"/>
              <w:jc w:val="both"/>
              <w:rPr>
                <w:rFonts w:asciiTheme="minorHAnsi" w:hAnsiTheme="minorHAnsi"/>
                <w:u w:val="single"/>
              </w:rPr>
            </w:pPr>
            <w:r w:rsidRPr="004F5CBA">
              <w:rPr>
                <w:rFonts w:ascii="Calibri" w:hAnsi="Calibri"/>
              </w:rPr>
              <w:t>Adresa e-pošte za kontakt:</w:t>
            </w:r>
          </w:p>
        </w:tc>
        <w:tc>
          <w:tcPr>
            <w:tcW w:w="2977" w:type="dxa"/>
          </w:tcPr>
          <w:p w:rsidR="00050504" w:rsidRDefault="0010593C" w:rsidP="00050504">
            <w:pPr>
              <w:spacing w:line="276" w:lineRule="auto"/>
              <w:jc w:val="both"/>
              <w:rPr>
                <w:rFonts w:asciiTheme="minorHAnsi" w:hAnsiTheme="minorHAnsi"/>
                <w:u w:val="single"/>
              </w:rPr>
            </w:pPr>
            <w:hyperlink r:id="rId7" w:history="1">
              <w:r w:rsidR="00927382" w:rsidRPr="004F5CBA">
                <w:rPr>
                  <w:rStyle w:val="Hiperveza"/>
                  <w:rFonts w:ascii="Calibri" w:hAnsi="Calibri"/>
                </w:rPr>
                <w:t>margareta.pticek@vta.hr</w:t>
              </w:r>
            </w:hyperlink>
          </w:p>
        </w:tc>
      </w:tr>
      <w:tr w:rsidR="00050504" w:rsidTr="00927382">
        <w:tc>
          <w:tcPr>
            <w:tcW w:w="2830" w:type="dxa"/>
          </w:tcPr>
          <w:p w:rsidR="00050504" w:rsidRDefault="00927382" w:rsidP="00050504">
            <w:pPr>
              <w:spacing w:line="276" w:lineRule="auto"/>
              <w:jc w:val="both"/>
              <w:rPr>
                <w:rFonts w:asciiTheme="minorHAnsi" w:hAnsiTheme="minorHAnsi"/>
                <w:u w:val="single"/>
              </w:rPr>
            </w:pPr>
            <w:r w:rsidRPr="004F5CBA">
              <w:rPr>
                <w:rFonts w:ascii="Calibri" w:hAnsi="Calibri"/>
              </w:rPr>
              <w:t>Adresa e-pošte obveznika:</w:t>
            </w:r>
          </w:p>
        </w:tc>
        <w:tc>
          <w:tcPr>
            <w:tcW w:w="2977" w:type="dxa"/>
          </w:tcPr>
          <w:p w:rsidR="00050504" w:rsidRDefault="0010593C" w:rsidP="00050504">
            <w:pPr>
              <w:spacing w:line="276" w:lineRule="auto"/>
              <w:jc w:val="both"/>
              <w:rPr>
                <w:rFonts w:asciiTheme="minorHAnsi" w:hAnsiTheme="minorHAnsi"/>
                <w:u w:val="single"/>
              </w:rPr>
            </w:pPr>
            <w:hyperlink r:id="rId8" w:history="1">
              <w:r w:rsidR="00927382" w:rsidRPr="004F5CBA">
                <w:rPr>
                  <w:rStyle w:val="Hiperveza"/>
                  <w:rFonts w:ascii="Calibri" w:hAnsi="Calibri"/>
                </w:rPr>
                <w:t>ured@vta.hr</w:t>
              </w:r>
            </w:hyperlink>
          </w:p>
        </w:tc>
      </w:tr>
      <w:tr w:rsidR="00050504" w:rsidTr="00927382">
        <w:tc>
          <w:tcPr>
            <w:tcW w:w="2830" w:type="dxa"/>
          </w:tcPr>
          <w:p w:rsidR="00050504" w:rsidRDefault="00927382" w:rsidP="00050504">
            <w:pPr>
              <w:spacing w:line="276" w:lineRule="auto"/>
              <w:jc w:val="both"/>
              <w:rPr>
                <w:rFonts w:asciiTheme="minorHAnsi" w:hAnsiTheme="minorHAnsi"/>
                <w:u w:val="single"/>
              </w:rPr>
            </w:pPr>
            <w:r w:rsidRPr="004F5CBA">
              <w:rPr>
                <w:rFonts w:ascii="Calibri" w:hAnsi="Calibri"/>
              </w:rPr>
              <w:t>Zakonski predstavnik:</w:t>
            </w:r>
          </w:p>
        </w:tc>
        <w:tc>
          <w:tcPr>
            <w:tcW w:w="2977" w:type="dxa"/>
          </w:tcPr>
          <w:p w:rsidR="00050504" w:rsidRPr="00927382" w:rsidRDefault="00927382" w:rsidP="00050504">
            <w:pPr>
              <w:spacing w:line="276" w:lineRule="auto"/>
              <w:jc w:val="both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="Calibri" w:hAnsi="Calibri"/>
              </w:rPr>
              <w:t>Tihana Harmund</w:t>
            </w:r>
          </w:p>
        </w:tc>
      </w:tr>
    </w:tbl>
    <w:p w:rsidR="00050504" w:rsidRPr="00050504" w:rsidRDefault="00050504" w:rsidP="00050504">
      <w:pPr>
        <w:spacing w:line="276" w:lineRule="auto"/>
        <w:jc w:val="both"/>
        <w:rPr>
          <w:rFonts w:asciiTheme="minorHAnsi" w:hAnsiTheme="minorHAnsi"/>
          <w:u w:val="single"/>
        </w:rPr>
      </w:pPr>
    </w:p>
    <w:p w:rsidR="004F5CBA" w:rsidRPr="004F5CBA" w:rsidRDefault="004F5CBA" w:rsidP="00050504">
      <w:pPr>
        <w:spacing w:line="276" w:lineRule="auto"/>
        <w:rPr>
          <w:rFonts w:ascii="Calibri" w:hAnsi="Calibri"/>
        </w:rPr>
      </w:pPr>
    </w:p>
    <w:p w:rsidR="004F5CBA" w:rsidRPr="00077265" w:rsidRDefault="00927382" w:rsidP="00050504">
      <w:pPr>
        <w:spacing w:line="276" w:lineRule="auto"/>
        <w:rPr>
          <w:rFonts w:ascii="Calibri" w:hAnsi="Calibri"/>
          <w:b/>
        </w:rPr>
      </w:pPr>
      <w:r w:rsidRPr="00077265">
        <w:rPr>
          <w:rFonts w:ascii="Calibri" w:hAnsi="Calibri"/>
          <w:b/>
        </w:rPr>
        <w:lastRenderedPageBreak/>
        <w:t>II. BILJEŠKE UZ FINANCIJSKA IZVJEŠĆA</w:t>
      </w:r>
    </w:p>
    <w:p w:rsidR="00927382" w:rsidRDefault="00927382" w:rsidP="00050504">
      <w:pPr>
        <w:spacing w:line="276" w:lineRule="auto"/>
        <w:rPr>
          <w:rFonts w:ascii="Calibri" w:hAnsi="Calibri"/>
        </w:rPr>
      </w:pPr>
    </w:p>
    <w:p w:rsidR="00927382" w:rsidRDefault="00927382" w:rsidP="00927382">
      <w:pPr>
        <w:spacing w:line="276" w:lineRule="auto"/>
        <w:rPr>
          <w:rFonts w:ascii="Calibri" w:hAnsi="Calibri"/>
          <w:u w:val="single"/>
        </w:rPr>
      </w:pPr>
    </w:p>
    <w:p w:rsidR="00927382" w:rsidRPr="000D23BE" w:rsidRDefault="00054030" w:rsidP="00927382">
      <w:pPr>
        <w:spacing w:line="276" w:lineRule="auto"/>
        <w:rPr>
          <w:rFonts w:ascii="Calibri" w:hAnsi="Calibri"/>
        </w:rPr>
      </w:pPr>
      <w:r>
        <w:rPr>
          <w:rFonts w:ascii="Calibri" w:hAnsi="Calibri"/>
          <w:u w:val="single"/>
        </w:rPr>
        <w:t xml:space="preserve">1. </w:t>
      </w:r>
      <w:r w:rsidR="00927382" w:rsidRPr="00927382">
        <w:rPr>
          <w:rFonts w:ascii="Calibri" w:hAnsi="Calibri"/>
          <w:u w:val="single"/>
        </w:rPr>
        <w:t>IZVJEŠTAJ O PRIHODIMA I RASHODIMA</w:t>
      </w:r>
      <w:r w:rsidR="00927382">
        <w:rPr>
          <w:rFonts w:ascii="Calibri" w:hAnsi="Calibri"/>
          <w:u w:val="single"/>
        </w:rPr>
        <w:t>,</w:t>
      </w:r>
      <w:r w:rsidR="00927382" w:rsidRPr="00927382">
        <w:rPr>
          <w:rFonts w:ascii="Calibri" w:hAnsi="Calibri"/>
          <w:u w:val="single"/>
        </w:rPr>
        <w:t xml:space="preserve"> PR</w:t>
      </w:r>
      <w:r w:rsidR="00927382">
        <w:rPr>
          <w:rFonts w:ascii="Calibri" w:hAnsi="Calibri"/>
          <w:u w:val="single"/>
        </w:rPr>
        <w:t>IMICIMA I IZDACIMA OD 01.01.2015</w:t>
      </w:r>
      <w:r w:rsidR="00927382" w:rsidRPr="00927382">
        <w:rPr>
          <w:rFonts w:ascii="Calibri" w:hAnsi="Calibri"/>
          <w:u w:val="single"/>
        </w:rPr>
        <w:t xml:space="preserve">. DO </w:t>
      </w:r>
      <w:r w:rsidR="00927382">
        <w:rPr>
          <w:rFonts w:ascii="Calibri" w:hAnsi="Calibri"/>
          <w:u w:val="single"/>
        </w:rPr>
        <w:t>31.12.2015</w:t>
      </w:r>
      <w:r w:rsidR="00927382" w:rsidRPr="00927382">
        <w:rPr>
          <w:rFonts w:ascii="Calibri" w:hAnsi="Calibri"/>
          <w:u w:val="single"/>
        </w:rPr>
        <w:t>.</w:t>
      </w:r>
      <w:r w:rsidR="000D23BE">
        <w:rPr>
          <w:rFonts w:ascii="Calibri" w:hAnsi="Calibri"/>
        </w:rPr>
        <w:t xml:space="preserve"> (Obrazac PR-RAS)</w:t>
      </w:r>
    </w:p>
    <w:p w:rsidR="00927382" w:rsidRDefault="00927382" w:rsidP="0098307B">
      <w:pPr>
        <w:spacing w:line="276" w:lineRule="auto"/>
        <w:jc w:val="both"/>
        <w:rPr>
          <w:rFonts w:ascii="Calibri" w:hAnsi="Calibri"/>
        </w:rPr>
      </w:pPr>
    </w:p>
    <w:p w:rsidR="0098307B" w:rsidRDefault="0098307B" w:rsidP="0098307B">
      <w:pPr>
        <w:spacing w:line="276" w:lineRule="auto"/>
        <w:jc w:val="both"/>
        <w:rPr>
          <w:rFonts w:asciiTheme="minorHAnsi" w:hAnsiTheme="minorHAnsi"/>
        </w:rPr>
      </w:pPr>
      <w:r w:rsidRPr="004A7B20">
        <w:rPr>
          <w:rFonts w:asciiTheme="minorHAnsi" w:hAnsiTheme="minorHAnsi"/>
        </w:rPr>
        <w:t xml:space="preserve">Sukladno Pravilniku o financijskom izvještavanju u proračunskom računovodstvu, </w:t>
      </w:r>
      <w:r>
        <w:rPr>
          <w:rFonts w:asciiTheme="minorHAnsi" w:hAnsiTheme="minorHAnsi"/>
        </w:rPr>
        <w:t>u</w:t>
      </w:r>
      <w:r w:rsidRPr="0098307B">
        <w:rPr>
          <w:rFonts w:asciiTheme="minorHAnsi" w:hAnsiTheme="minorHAnsi"/>
        </w:rPr>
        <w:t xml:space="preserve"> Bilješkama uz Izvještaj o prihodima i rashodima, primicima i izdacima potrebno je navesti razloge zbog kojih je došlo do većih odstupanja od ostvarenja u izvještajnom razdoblju prethodne godine</w:t>
      </w:r>
      <w:r>
        <w:rPr>
          <w:rFonts w:asciiTheme="minorHAnsi" w:hAnsiTheme="minorHAnsi"/>
        </w:rPr>
        <w:t>.</w:t>
      </w:r>
    </w:p>
    <w:p w:rsidR="0098307B" w:rsidRDefault="0098307B" w:rsidP="0098307B">
      <w:pPr>
        <w:spacing w:line="276" w:lineRule="auto"/>
        <w:jc w:val="both"/>
        <w:rPr>
          <w:rFonts w:asciiTheme="minorHAnsi" w:hAnsiTheme="minorHAnsi"/>
        </w:rPr>
      </w:pPr>
    </w:p>
    <w:p w:rsidR="00AD4829" w:rsidRPr="004F5CBA" w:rsidRDefault="00927382" w:rsidP="00AD4829">
      <w:pPr>
        <w:spacing w:line="276" w:lineRule="auto"/>
        <w:jc w:val="both"/>
        <w:rPr>
          <w:rFonts w:ascii="Calibri" w:hAnsi="Calibri"/>
        </w:rPr>
      </w:pPr>
      <w:r w:rsidRPr="00927382">
        <w:rPr>
          <w:rFonts w:ascii="Calibri" w:hAnsi="Calibri"/>
        </w:rPr>
        <w:t>Razvojna agencija VTA  ostvar</w:t>
      </w:r>
      <w:r>
        <w:rPr>
          <w:rFonts w:ascii="Calibri" w:hAnsi="Calibri"/>
        </w:rPr>
        <w:t>ila je u razdoblju od 01.01.2015. do 31.12.2015</w:t>
      </w:r>
      <w:r w:rsidRPr="00927382">
        <w:rPr>
          <w:rFonts w:ascii="Calibri" w:hAnsi="Calibri"/>
        </w:rPr>
        <w:t xml:space="preserve">. prihode poslovanja u iznosu od  </w:t>
      </w:r>
      <w:r>
        <w:rPr>
          <w:rFonts w:ascii="Calibri" w:hAnsi="Calibri"/>
        </w:rPr>
        <w:t>1.</w:t>
      </w:r>
      <w:r w:rsidRPr="00927382">
        <w:rPr>
          <w:rFonts w:ascii="Calibri" w:hAnsi="Calibri"/>
        </w:rPr>
        <w:t>555.</w:t>
      </w:r>
      <w:r>
        <w:rPr>
          <w:rFonts w:ascii="Calibri" w:hAnsi="Calibri"/>
        </w:rPr>
        <w:t>581,04</w:t>
      </w:r>
      <w:r w:rsidRPr="00927382">
        <w:rPr>
          <w:rFonts w:ascii="Calibri" w:hAnsi="Calibri"/>
        </w:rPr>
        <w:t xml:space="preserve"> kuna</w:t>
      </w:r>
      <w:r w:rsidR="0098307B">
        <w:rPr>
          <w:rFonts w:ascii="Calibri" w:hAnsi="Calibri"/>
        </w:rPr>
        <w:t xml:space="preserve"> (AOP 001)</w:t>
      </w:r>
      <w:r w:rsidRPr="00927382">
        <w:rPr>
          <w:rFonts w:ascii="Calibri" w:hAnsi="Calibri"/>
        </w:rPr>
        <w:t>.</w:t>
      </w:r>
      <w:r w:rsidR="0098307B">
        <w:rPr>
          <w:rFonts w:ascii="Calibri" w:hAnsi="Calibri"/>
        </w:rPr>
        <w:t xml:space="preserve"> U istom razdoblju prethodne godine, prihod</w:t>
      </w:r>
      <w:r w:rsidR="00F445A4">
        <w:rPr>
          <w:rFonts w:ascii="Calibri" w:hAnsi="Calibri"/>
        </w:rPr>
        <w:t>i poslovanja iznosili su 555.037,89 kuna što je za 1.000.543,15</w:t>
      </w:r>
      <w:r w:rsidR="0098307B">
        <w:rPr>
          <w:rFonts w:ascii="Calibri" w:hAnsi="Calibri"/>
        </w:rPr>
        <w:t xml:space="preserve"> kuna manje nego u 2015. godini. </w:t>
      </w:r>
      <w:r w:rsidR="00AD4829">
        <w:rPr>
          <w:rFonts w:ascii="Calibri" w:hAnsi="Calibri"/>
        </w:rPr>
        <w:t>Indeks povećanja iznosi 208,1.</w:t>
      </w:r>
    </w:p>
    <w:p w:rsidR="00927382" w:rsidRDefault="00927382" w:rsidP="0098307B">
      <w:pPr>
        <w:spacing w:line="276" w:lineRule="auto"/>
        <w:jc w:val="both"/>
        <w:rPr>
          <w:rFonts w:ascii="Calibri" w:hAnsi="Calibri"/>
        </w:rPr>
      </w:pPr>
    </w:p>
    <w:p w:rsidR="0098307B" w:rsidRDefault="0098307B" w:rsidP="0098307B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Razl</w:t>
      </w:r>
      <w:r w:rsidR="00AD4829">
        <w:rPr>
          <w:rFonts w:ascii="Calibri" w:hAnsi="Calibri"/>
        </w:rPr>
        <w:t xml:space="preserve">og povećanja prihoda poslovanja </w:t>
      </w:r>
      <w:r w:rsidR="00E21D4F">
        <w:rPr>
          <w:rFonts w:ascii="Calibri" w:hAnsi="Calibri"/>
        </w:rPr>
        <w:t>su</w:t>
      </w:r>
      <w:r w:rsidR="00D83244">
        <w:rPr>
          <w:rFonts w:ascii="Calibri" w:hAnsi="Calibri"/>
        </w:rPr>
        <w:t xml:space="preserve"> između ostalih</w:t>
      </w:r>
      <w:r w:rsidR="00E21D4F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pomoći od izvanproračunskih korisnika u iznosu od </w:t>
      </w:r>
      <w:r w:rsidRPr="0098307B">
        <w:rPr>
          <w:rFonts w:ascii="Calibri" w:hAnsi="Calibri"/>
        </w:rPr>
        <w:t>43</w:t>
      </w:r>
      <w:r>
        <w:rPr>
          <w:rFonts w:ascii="Calibri" w:hAnsi="Calibri"/>
        </w:rPr>
        <w:t>.</w:t>
      </w:r>
      <w:r w:rsidRPr="0098307B">
        <w:rPr>
          <w:rFonts w:ascii="Calibri" w:hAnsi="Calibri"/>
        </w:rPr>
        <w:t>002,92</w:t>
      </w:r>
      <w:r>
        <w:rPr>
          <w:rFonts w:ascii="Calibri" w:hAnsi="Calibri"/>
        </w:rPr>
        <w:t xml:space="preserve"> kune </w:t>
      </w:r>
      <w:r w:rsidR="00E21D4F">
        <w:rPr>
          <w:rFonts w:ascii="Calibri" w:hAnsi="Calibri"/>
        </w:rPr>
        <w:t>(AOP 059), što se odnosi na tekuće pomoći od</w:t>
      </w:r>
      <w:r w:rsidR="00E21D4F" w:rsidRPr="00E21D4F">
        <w:rPr>
          <w:rFonts w:ascii="Calibri" w:hAnsi="Calibri"/>
        </w:rPr>
        <w:t xml:space="preserve"> HZZ-a za stručno osposobljavanje</w:t>
      </w:r>
      <w:r w:rsidR="00E21D4F">
        <w:rPr>
          <w:rFonts w:ascii="Calibri" w:hAnsi="Calibri"/>
        </w:rPr>
        <w:t xml:space="preserve"> </w:t>
      </w:r>
      <w:r>
        <w:rPr>
          <w:rFonts w:ascii="Calibri" w:hAnsi="Calibri"/>
        </w:rPr>
        <w:t>za rad bez zasnivanja radnog odnosa</w:t>
      </w:r>
      <w:r w:rsidR="00E21D4F">
        <w:rPr>
          <w:rFonts w:ascii="Calibri" w:hAnsi="Calibri"/>
        </w:rPr>
        <w:t xml:space="preserve"> (AOP 060)</w:t>
      </w:r>
      <w:r>
        <w:rPr>
          <w:rFonts w:ascii="Calibri" w:hAnsi="Calibri"/>
        </w:rPr>
        <w:t>.</w:t>
      </w:r>
      <w:r w:rsidR="00E21D4F">
        <w:rPr>
          <w:rFonts w:ascii="Calibri" w:hAnsi="Calibri"/>
        </w:rPr>
        <w:t xml:space="preserve"> Istih u razdoblju od 01.01.2014. do 31.12.2014. godine nije bilo.</w:t>
      </w:r>
    </w:p>
    <w:p w:rsidR="00E21D4F" w:rsidRDefault="00E21D4F" w:rsidP="0098307B">
      <w:pPr>
        <w:spacing w:line="276" w:lineRule="auto"/>
        <w:jc w:val="both"/>
        <w:rPr>
          <w:rFonts w:ascii="Calibri" w:hAnsi="Calibri"/>
        </w:rPr>
      </w:pPr>
    </w:p>
    <w:p w:rsidR="00AD4829" w:rsidRDefault="00E21D4F" w:rsidP="0098307B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Za </w:t>
      </w:r>
      <w:r w:rsidRPr="00E21D4F">
        <w:rPr>
          <w:rFonts w:ascii="Calibri" w:hAnsi="Calibri"/>
        </w:rPr>
        <w:t>58</w:t>
      </w:r>
      <w:r>
        <w:rPr>
          <w:rFonts w:ascii="Calibri" w:hAnsi="Calibri"/>
        </w:rPr>
        <w:t>.</w:t>
      </w:r>
      <w:r w:rsidRPr="00E21D4F">
        <w:rPr>
          <w:rFonts w:ascii="Calibri" w:hAnsi="Calibri"/>
        </w:rPr>
        <w:t>790,34</w:t>
      </w:r>
      <w:r>
        <w:rPr>
          <w:rFonts w:ascii="Calibri" w:hAnsi="Calibri"/>
        </w:rPr>
        <w:t xml:space="preserve"> kune (AOP 123) povećali su se prihodi od pruženih usluga, koje je Agencija oprihodovala pružanjem usluga </w:t>
      </w:r>
      <w:r w:rsidR="00D83244">
        <w:rPr>
          <w:rFonts w:ascii="Calibri" w:hAnsi="Calibri"/>
        </w:rPr>
        <w:t>na tržištu, dok su i</w:t>
      </w:r>
      <w:r w:rsidR="00AD4829">
        <w:rPr>
          <w:rFonts w:ascii="Calibri" w:hAnsi="Calibri"/>
        </w:rPr>
        <w:t>sti prihod</w:t>
      </w:r>
      <w:r w:rsidR="00D83244">
        <w:rPr>
          <w:rFonts w:ascii="Calibri" w:hAnsi="Calibri"/>
        </w:rPr>
        <w:t>i</w:t>
      </w:r>
      <w:r w:rsidR="00AD4829">
        <w:rPr>
          <w:rFonts w:ascii="Calibri" w:hAnsi="Calibri"/>
        </w:rPr>
        <w:t xml:space="preserve"> u 2014. godini </w:t>
      </w:r>
      <w:r w:rsidR="00D83244">
        <w:rPr>
          <w:rFonts w:ascii="Calibri" w:hAnsi="Calibri"/>
        </w:rPr>
        <w:t>iznosili</w:t>
      </w:r>
      <w:r w:rsidR="00AD4829">
        <w:rPr>
          <w:rFonts w:ascii="Calibri" w:hAnsi="Calibri"/>
        </w:rPr>
        <w:t xml:space="preserve"> 0,00 kuna.</w:t>
      </w:r>
    </w:p>
    <w:p w:rsidR="00AD4829" w:rsidRDefault="00AD4829" w:rsidP="0098307B">
      <w:pPr>
        <w:spacing w:line="276" w:lineRule="auto"/>
        <w:jc w:val="both"/>
        <w:rPr>
          <w:rFonts w:ascii="Calibri" w:hAnsi="Calibri"/>
        </w:rPr>
      </w:pPr>
    </w:p>
    <w:p w:rsidR="00AD4829" w:rsidRDefault="00AD4829" w:rsidP="0098307B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Prihodi iz nadležnog proračuna za financiranje redovne djelatn</w:t>
      </w:r>
      <w:r w:rsidR="00F445A4">
        <w:rPr>
          <w:rFonts w:ascii="Calibri" w:hAnsi="Calibri"/>
        </w:rPr>
        <w:t>osti povećali su se sa 548.640,31 kuna</w:t>
      </w:r>
      <w:r>
        <w:rPr>
          <w:rFonts w:ascii="Calibri" w:hAnsi="Calibri"/>
        </w:rPr>
        <w:t xml:space="preserve"> u 2014. godini na </w:t>
      </w:r>
      <w:r w:rsidRPr="00AD4829">
        <w:rPr>
          <w:rFonts w:ascii="Calibri" w:hAnsi="Calibri"/>
        </w:rPr>
        <w:t>1</w:t>
      </w:r>
      <w:r>
        <w:rPr>
          <w:rFonts w:ascii="Calibri" w:hAnsi="Calibri"/>
        </w:rPr>
        <w:t>.</w:t>
      </w:r>
      <w:r w:rsidRPr="00AD4829">
        <w:rPr>
          <w:rFonts w:ascii="Calibri" w:hAnsi="Calibri"/>
        </w:rPr>
        <w:t>053</w:t>
      </w:r>
      <w:r>
        <w:rPr>
          <w:rFonts w:ascii="Calibri" w:hAnsi="Calibri"/>
        </w:rPr>
        <w:t>.</w:t>
      </w:r>
      <w:r w:rsidRPr="00AD4829">
        <w:rPr>
          <w:rFonts w:ascii="Calibri" w:hAnsi="Calibri"/>
        </w:rPr>
        <w:t>741,32</w:t>
      </w:r>
      <w:r>
        <w:rPr>
          <w:rFonts w:ascii="Calibri" w:hAnsi="Calibri"/>
        </w:rPr>
        <w:t xml:space="preserve"> kune u 2015. godini (AOP 671). Povećanje prihoda iz Proračuna Grada Virovitice rezultiralo je povećanjem rashoda agencije koji će biti pojašnjeni u nastavku.</w:t>
      </w:r>
    </w:p>
    <w:p w:rsidR="00AD4829" w:rsidRDefault="00AD4829" w:rsidP="0098307B">
      <w:pPr>
        <w:spacing w:line="276" w:lineRule="auto"/>
        <w:jc w:val="both"/>
        <w:rPr>
          <w:rFonts w:ascii="Calibri" w:hAnsi="Calibri"/>
        </w:rPr>
      </w:pPr>
    </w:p>
    <w:p w:rsidR="00AD0F1B" w:rsidRPr="00224120" w:rsidRDefault="00AD4829" w:rsidP="0098307B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Rashodi poslo</w:t>
      </w:r>
      <w:r w:rsidR="00D83244">
        <w:rPr>
          <w:rFonts w:ascii="Calibri" w:hAnsi="Calibri"/>
        </w:rPr>
        <w:t xml:space="preserve">vanja Agencije </w:t>
      </w:r>
      <w:r w:rsidR="00AD0F1B" w:rsidRPr="00AD0F1B">
        <w:rPr>
          <w:rFonts w:ascii="Calibri" w:hAnsi="Calibri"/>
          <w:b/>
        </w:rPr>
        <w:tab/>
      </w:r>
      <w:r w:rsidR="00D83244">
        <w:rPr>
          <w:rFonts w:ascii="Calibri" w:hAnsi="Calibri"/>
        </w:rPr>
        <w:t>u razdoblju od 01.01.2014. do 31.12.2014</w:t>
      </w:r>
      <w:r w:rsidR="00D83244" w:rsidRPr="00927382">
        <w:rPr>
          <w:rFonts w:ascii="Calibri" w:hAnsi="Calibri"/>
        </w:rPr>
        <w:t>.</w:t>
      </w:r>
      <w:r w:rsidR="00D83244">
        <w:rPr>
          <w:rFonts w:ascii="Calibri" w:hAnsi="Calibri"/>
        </w:rPr>
        <w:t xml:space="preserve"> iznosili su </w:t>
      </w:r>
      <w:r w:rsidR="00D83244" w:rsidRPr="00D83244">
        <w:rPr>
          <w:rFonts w:ascii="Calibri" w:hAnsi="Calibri"/>
        </w:rPr>
        <w:t>535.412,49</w:t>
      </w:r>
      <w:r w:rsidR="00D83244">
        <w:rPr>
          <w:rFonts w:ascii="Calibri" w:hAnsi="Calibri"/>
        </w:rPr>
        <w:t xml:space="preserve"> kuna, dok su se u istom razdoblju 2015. godine povećali na 1.060.838,27 kuna, što je indeks</w:t>
      </w:r>
      <w:r w:rsidR="00224120">
        <w:rPr>
          <w:rFonts w:ascii="Calibri" w:hAnsi="Calibri"/>
        </w:rPr>
        <w:t xml:space="preserve">om </w:t>
      </w:r>
      <w:r w:rsidR="00224120" w:rsidRPr="00224120">
        <w:rPr>
          <w:rFonts w:ascii="Calibri" w:hAnsi="Calibri"/>
        </w:rPr>
        <w:t>iskazano</w:t>
      </w:r>
      <w:r w:rsidR="00D83244" w:rsidRPr="00224120">
        <w:rPr>
          <w:rFonts w:ascii="Calibri" w:hAnsi="Calibri"/>
        </w:rPr>
        <w:t xml:space="preserve"> 198,1 (AOP 147).</w:t>
      </w:r>
      <w:r w:rsidR="00AD0F1B" w:rsidRPr="00224120">
        <w:rPr>
          <w:rFonts w:ascii="Calibri" w:hAnsi="Calibri"/>
        </w:rPr>
        <w:tab/>
      </w:r>
    </w:p>
    <w:p w:rsidR="00D83244" w:rsidRPr="00224120" w:rsidRDefault="00D83244" w:rsidP="0098307B">
      <w:pPr>
        <w:spacing w:line="276" w:lineRule="auto"/>
        <w:jc w:val="both"/>
        <w:rPr>
          <w:rFonts w:ascii="Calibri" w:hAnsi="Calibri"/>
        </w:rPr>
      </w:pPr>
    </w:p>
    <w:p w:rsidR="00D83244" w:rsidRDefault="00D83244" w:rsidP="0098307B">
      <w:pPr>
        <w:spacing w:line="276" w:lineRule="auto"/>
        <w:jc w:val="both"/>
        <w:rPr>
          <w:rFonts w:ascii="Calibri" w:hAnsi="Calibri"/>
        </w:rPr>
      </w:pPr>
      <w:r w:rsidRPr="00224120">
        <w:rPr>
          <w:rFonts w:ascii="Calibri" w:hAnsi="Calibri"/>
        </w:rPr>
        <w:t>Od toga su se značajnije povećali rashodi za zaposlene</w:t>
      </w:r>
      <w:r w:rsidR="00224120">
        <w:rPr>
          <w:rFonts w:ascii="Calibri" w:hAnsi="Calibri"/>
        </w:rPr>
        <w:t xml:space="preserve"> ostvareni uz indeks 132,2 što je rezultiralo povećanjem broja djelatnika (AOP 148), zatim materijalni rashodi uz indeks 400,3 su se povećali sa </w:t>
      </w:r>
      <w:r w:rsidR="00206946">
        <w:rPr>
          <w:rFonts w:ascii="Calibri" w:hAnsi="Calibri"/>
        </w:rPr>
        <w:t>131.620,45</w:t>
      </w:r>
      <w:r w:rsidR="00F445A4">
        <w:rPr>
          <w:rFonts w:ascii="Calibri" w:hAnsi="Calibri"/>
        </w:rPr>
        <w:t xml:space="preserve"> kuna na 526.930,43 kuna (AOP 160)</w:t>
      </w:r>
      <w:r w:rsidR="00206946">
        <w:rPr>
          <w:rFonts w:ascii="Calibri" w:hAnsi="Calibri"/>
        </w:rPr>
        <w:t>, u najvećem dijelu zbog povećanja intelektualnih i osobnih usluga</w:t>
      </w:r>
      <w:r w:rsidR="00A2192E" w:rsidRPr="00A2192E">
        <w:rPr>
          <w:rFonts w:ascii="Calibri" w:hAnsi="Calibri"/>
        </w:rPr>
        <w:t xml:space="preserve"> </w:t>
      </w:r>
      <w:r w:rsidR="00A2192E" w:rsidRPr="00302EFE">
        <w:rPr>
          <w:rFonts w:ascii="Calibri" w:hAnsi="Calibri"/>
        </w:rPr>
        <w:t>radi stručne razrade in</w:t>
      </w:r>
      <w:r w:rsidR="00A2192E">
        <w:rPr>
          <w:rFonts w:ascii="Calibri" w:hAnsi="Calibri"/>
        </w:rPr>
        <w:t>frastrukturnog projekta obnove d</w:t>
      </w:r>
      <w:r w:rsidR="00A2192E" w:rsidRPr="00302EFE">
        <w:rPr>
          <w:rFonts w:ascii="Calibri" w:hAnsi="Calibri"/>
        </w:rPr>
        <w:t>vorca Pejačević</w:t>
      </w:r>
      <w:r w:rsidR="00206946">
        <w:rPr>
          <w:rFonts w:ascii="Calibri" w:hAnsi="Calibri"/>
        </w:rPr>
        <w:t xml:space="preserve"> </w:t>
      </w:r>
      <w:r w:rsidR="00A2192E">
        <w:rPr>
          <w:rFonts w:ascii="Calibri" w:hAnsi="Calibri"/>
        </w:rPr>
        <w:t xml:space="preserve">i Gradskog parka </w:t>
      </w:r>
      <w:r w:rsidR="00206946">
        <w:rPr>
          <w:rFonts w:ascii="Calibri" w:hAnsi="Calibri"/>
        </w:rPr>
        <w:t xml:space="preserve">(AOP 181), a naknade troškova osobama izvan </w:t>
      </w:r>
      <w:r w:rsidR="00A2192E">
        <w:rPr>
          <w:rFonts w:ascii="Calibri" w:hAnsi="Calibri"/>
        </w:rPr>
        <w:t>radnog odnosa povećale</w:t>
      </w:r>
      <w:r w:rsidR="00206946">
        <w:rPr>
          <w:rFonts w:ascii="Calibri" w:hAnsi="Calibri"/>
        </w:rPr>
        <w:t xml:space="preserve"> su se sa 2.192,68 kuna na 32.103,15 kuna radi već navedenog stručnog osposobljavanja za rad bez zasnivanja radnog odnosa (AOP 184).</w:t>
      </w:r>
    </w:p>
    <w:p w:rsidR="00A2192E" w:rsidRDefault="00A2192E" w:rsidP="0098307B">
      <w:pPr>
        <w:spacing w:line="276" w:lineRule="auto"/>
        <w:jc w:val="both"/>
        <w:rPr>
          <w:rFonts w:ascii="Calibri" w:hAnsi="Calibri"/>
        </w:rPr>
      </w:pPr>
    </w:p>
    <w:p w:rsidR="00A2192E" w:rsidRDefault="00A2192E" w:rsidP="0098307B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Rashodi za nabavu nefinancijske imovine porasli su sa 15.420,50 kuna u 2014. godini na 82.228,00 kuna u 2015. godini (AOP 334). Najznačajniji razlog povećanja je kupovina službenog vozila u iznosu od 69.900,00 kuna (AOP 363).</w:t>
      </w:r>
    </w:p>
    <w:p w:rsidR="00A2192E" w:rsidRDefault="00A2192E" w:rsidP="0098307B">
      <w:pPr>
        <w:spacing w:line="276" w:lineRule="auto"/>
        <w:jc w:val="both"/>
        <w:rPr>
          <w:rFonts w:ascii="Calibri" w:hAnsi="Calibri"/>
        </w:rPr>
      </w:pPr>
    </w:p>
    <w:p w:rsidR="00A2192E" w:rsidRDefault="00A2192E" w:rsidP="0098307B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Ukupan višak prih</w:t>
      </w:r>
      <w:r w:rsidR="006B65AB">
        <w:rPr>
          <w:rFonts w:ascii="Calibri" w:hAnsi="Calibri"/>
        </w:rPr>
        <w:t>oda od 01.01.2014. do 31.12.2014</w:t>
      </w:r>
      <w:r>
        <w:rPr>
          <w:rFonts w:ascii="Calibri" w:hAnsi="Calibri"/>
        </w:rPr>
        <w:t>. godine ostvaren je u iznosu od 4.397,58 kuna</w:t>
      </w:r>
      <w:r w:rsidR="006B65AB">
        <w:rPr>
          <w:rFonts w:ascii="Calibri" w:hAnsi="Calibri"/>
        </w:rPr>
        <w:t xml:space="preserve"> (AOP 403)</w:t>
      </w:r>
      <w:r>
        <w:rPr>
          <w:rFonts w:ascii="Calibri" w:hAnsi="Calibri"/>
        </w:rPr>
        <w:t xml:space="preserve">, no </w:t>
      </w:r>
      <w:r w:rsidR="006B65AB">
        <w:rPr>
          <w:rFonts w:ascii="Calibri" w:hAnsi="Calibri"/>
        </w:rPr>
        <w:t xml:space="preserve">na dan 02. siječnja 2015. godine izvršena je korekcija financijskog rezultata čime je navedeni iznos prenesen na obveze prema nadležnom proračunu. Samim time, isti nije </w:t>
      </w:r>
      <w:r w:rsidR="00DB350C">
        <w:rPr>
          <w:rFonts w:ascii="Calibri" w:hAnsi="Calibri"/>
        </w:rPr>
        <w:t xml:space="preserve">prikazan kao preneseni višak prihoda u 2015. godini. Ukupan višak prihoda u 2015. godini iznosio je 12.514,77 kuna (AOP 403), a nastao je iz Izvora </w:t>
      </w:r>
      <w:r w:rsidR="00DB350C" w:rsidRPr="00DB350C">
        <w:rPr>
          <w:rFonts w:ascii="Calibri" w:hAnsi="Calibri"/>
        </w:rPr>
        <w:t>Pomoći iz HZZ-a za stručno osposobljavanje</w:t>
      </w:r>
      <w:r w:rsidR="00DB350C">
        <w:rPr>
          <w:rFonts w:ascii="Calibri" w:hAnsi="Calibri"/>
        </w:rPr>
        <w:t>.</w:t>
      </w:r>
    </w:p>
    <w:p w:rsidR="00DB350C" w:rsidRDefault="00DB350C" w:rsidP="0098307B">
      <w:pPr>
        <w:spacing w:line="276" w:lineRule="auto"/>
        <w:jc w:val="both"/>
        <w:rPr>
          <w:rFonts w:ascii="Calibri" w:hAnsi="Calibri"/>
        </w:rPr>
      </w:pPr>
    </w:p>
    <w:p w:rsidR="00DB350C" w:rsidRDefault="00DB350C" w:rsidP="0098307B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Ukupni prihodi i primici u razdoblju od 01.01.2014. do 31.12.2014. godine iznosili su 555.230,57 kuna, a u istom razdoblju 2015. godine </w:t>
      </w:r>
      <w:r w:rsidRPr="00DB350C">
        <w:rPr>
          <w:rFonts w:ascii="Calibri" w:hAnsi="Calibri"/>
        </w:rPr>
        <w:t>1</w:t>
      </w:r>
      <w:r w:rsidR="00D246B0">
        <w:rPr>
          <w:rFonts w:ascii="Calibri" w:hAnsi="Calibri"/>
        </w:rPr>
        <w:t>.</w:t>
      </w:r>
      <w:r w:rsidRPr="00DB350C">
        <w:rPr>
          <w:rFonts w:ascii="Calibri" w:hAnsi="Calibri"/>
        </w:rPr>
        <w:t>155</w:t>
      </w:r>
      <w:r w:rsidR="00D246B0">
        <w:rPr>
          <w:rFonts w:ascii="Calibri" w:hAnsi="Calibri"/>
        </w:rPr>
        <w:t>.</w:t>
      </w:r>
      <w:r w:rsidRPr="00DB350C">
        <w:rPr>
          <w:rFonts w:ascii="Calibri" w:hAnsi="Calibri"/>
        </w:rPr>
        <w:t>581,04</w:t>
      </w:r>
      <w:r w:rsidR="00D246B0">
        <w:rPr>
          <w:rFonts w:ascii="Calibri" w:hAnsi="Calibri"/>
        </w:rPr>
        <w:t xml:space="preserve"> kuna. Iznos povećanja iznosi 208,1 (AOP 631).</w:t>
      </w:r>
    </w:p>
    <w:p w:rsidR="00D246B0" w:rsidRDefault="00D246B0" w:rsidP="0098307B">
      <w:pPr>
        <w:spacing w:line="276" w:lineRule="auto"/>
        <w:jc w:val="both"/>
        <w:rPr>
          <w:rFonts w:ascii="Calibri" w:hAnsi="Calibri"/>
        </w:rPr>
      </w:pPr>
    </w:p>
    <w:p w:rsidR="00D246B0" w:rsidRDefault="00D246B0" w:rsidP="00D246B0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Ukupni rashodi i izdaci u razdoblju od 01.01.2014. do 31.12.2014. godine iznosili su 550.832,99 kuna, a u istom razdoblju 2015. godine </w:t>
      </w:r>
      <w:r w:rsidRPr="00DB350C">
        <w:rPr>
          <w:rFonts w:ascii="Calibri" w:hAnsi="Calibri"/>
        </w:rPr>
        <w:t>1</w:t>
      </w:r>
      <w:r>
        <w:rPr>
          <w:rFonts w:ascii="Calibri" w:hAnsi="Calibri"/>
        </w:rPr>
        <w:t>.</w:t>
      </w:r>
      <w:r w:rsidRPr="00DB350C">
        <w:rPr>
          <w:rFonts w:ascii="Calibri" w:hAnsi="Calibri"/>
        </w:rPr>
        <w:t>155</w:t>
      </w:r>
      <w:r>
        <w:rPr>
          <w:rFonts w:ascii="Calibri" w:hAnsi="Calibri"/>
        </w:rPr>
        <w:t>.</w:t>
      </w:r>
      <w:r w:rsidRPr="00DB350C">
        <w:rPr>
          <w:rFonts w:ascii="Calibri" w:hAnsi="Calibri"/>
        </w:rPr>
        <w:t>581,04</w:t>
      </w:r>
      <w:r>
        <w:rPr>
          <w:rFonts w:ascii="Calibri" w:hAnsi="Calibri"/>
        </w:rPr>
        <w:t xml:space="preserve"> kuna, uz indeks 208,1 (AOP 632).</w:t>
      </w:r>
    </w:p>
    <w:p w:rsidR="00D246B0" w:rsidRDefault="00D246B0" w:rsidP="0098307B">
      <w:pPr>
        <w:spacing w:line="276" w:lineRule="auto"/>
        <w:jc w:val="both"/>
        <w:rPr>
          <w:rFonts w:ascii="Calibri" w:hAnsi="Calibri"/>
        </w:rPr>
      </w:pPr>
    </w:p>
    <w:p w:rsidR="00D246B0" w:rsidRDefault="00D246B0" w:rsidP="0098307B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Višak prihoda i primitaka u 2014. godini ostvaren je u iznosu od 4.397,58 kuna, a u 2015. godini u iznosu od 12.514,77 kuna (AOP 633).</w:t>
      </w:r>
    </w:p>
    <w:p w:rsidR="00D246B0" w:rsidRDefault="00D246B0" w:rsidP="0098307B">
      <w:pPr>
        <w:spacing w:line="276" w:lineRule="auto"/>
        <w:jc w:val="both"/>
        <w:rPr>
          <w:rFonts w:ascii="Calibri" w:hAnsi="Calibri"/>
        </w:rPr>
      </w:pPr>
    </w:p>
    <w:p w:rsidR="00D246B0" w:rsidRDefault="00263B90" w:rsidP="0098307B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Povećanje ukupnih</w:t>
      </w:r>
      <w:r w:rsidR="00D246B0">
        <w:rPr>
          <w:rFonts w:ascii="Calibri" w:hAnsi="Calibri"/>
        </w:rPr>
        <w:t xml:space="preserve"> priljeva na novčane račune </w:t>
      </w:r>
      <w:r>
        <w:rPr>
          <w:rFonts w:ascii="Calibri" w:hAnsi="Calibri"/>
        </w:rPr>
        <w:t>od 2014. do 2015. godine ostvareno</w:t>
      </w:r>
      <w:r w:rsidR="00D246B0">
        <w:rPr>
          <w:rFonts w:ascii="Calibri" w:hAnsi="Calibri"/>
        </w:rPr>
        <w:t xml:space="preserve"> je</w:t>
      </w:r>
      <w:r>
        <w:rPr>
          <w:rFonts w:ascii="Calibri" w:hAnsi="Calibri"/>
        </w:rPr>
        <w:t xml:space="preserve"> u</w:t>
      </w:r>
      <w:r w:rsidR="00D246B0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indeksu od </w:t>
      </w:r>
      <w:r w:rsidR="00D246B0">
        <w:rPr>
          <w:rFonts w:ascii="Calibri" w:hAnsi="Calibri"/>
        </w:rPr>
        <w:t>195,0,</w:t>
      </w:r>
      <w:r>
        <w:rPr>
          <w:rFonts w:ascii="Calibri" w:hAnsi="Calibri"/>
        </w:rPr>
        <w:t xml:space="preserve"> a povećanje ukupnih odljeva s novčanih računa ostvareno je u indeksu od 231,1 (AOP 642).</w:t>
      </w:r>
    </w:p>
    <w:p w:rsidR="00263B90" w:rsidRDefault="00263B90" w:rsidP="0098307B">
      <w:pPr>
        <w:spacing w:line="276" w:lineRule="auto"/>
        <w:jc w:val="both"/>
        <w:rPr>
          <w:rFonts w:ascii="Calibri" w:hAnsi="Calibri"/>
        </w:rPr>
      </w:pPr>
    </w:p>
    <w:p w:rsidR="00263B90" w:rsidRDefault="00263B90" w:rsidP="0098307B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Stanje novčanih sredstava na kraju izvještajnog razdoblja u 2015. godini iznosilo je 118.715,44 kn. Indeks povećanja u odnosu na 2014. godinu je 118,4 (AOP 643).</w:t>
      </w:r>
    </w:p>
    <w:p w:rsidR="00054030" w:rsidRDefault="00054030" w:rsidP="0098307B">
      <w:pPr>
        <w:spacing w:line="276" w:lineRule="auto"/>
        <w:jc w:val="both"/>
        <w:rPr>
          <w:rFonts w:ascii="Calibri" w:hAnsi="Calibri"/>
        </w:rPr>
      </w:pPr>
    </w:p>
    <w:p w:rsidR="00054030" w:rsidRDefault="00054030" w:rsidP="0098307B">
      <w:pPr>
        <w:spacing w:line="276" w:lineRule="auto"/>
        <w:jc w:val="both"/>
        <w:rPr>
          <w:rFonts w:ascii="Calibri" w:hAnsi="Calibri"/>
        </w:rPr>
      </w:pPr>
    </w:p>
    <w:p w:rsidR="00054030" w:rsidRPr="000D23BE" w:rsidRDefault="00054030" w:rsidP="00054030">
      <w:pPr>
        <w:spacing w:line="276" w:lineRule="auto"/>
        <w:rPr>
          <w:rFonts w:ascii="Calibri" w:hAnsi="Calibri"/>
        </w:rPr>
      </w:pPr>
      <w:r>
        <w:rPr>
          <w:rFonts w:ascii="Calibri" w:hAnsi="Calibri"/>
          <w:u w:val="single"/>
        </w:rPr>
        <w:t xml:space="preserve">2. </w:t>
      </w:r>
      <w:r w:rsidRPr="00927382">
        <w:rPr>
          <w:rFonts w:ascii="Calibri" w:hAnsi="Calibri"/>
          <w:u w:val="single"/>
        </w:rPr>
        <w:t>IZVJEŠTAJ O RASHODIMA</w:t>
      </w:r>
      <w:r>
        <w:rPr>
          <w:rFonts w:ascii="Calibri" w:hAnsi="Calibri"/>
          <w:u w:val="single"/>
        </w:rPr>
        <w:t xml:space="preserve"> PREMA FUNKCIJSKOJ KLASIFIKACIJI OD 01.01.2015</w:t>
      </w:r>
      <w:r w:rsidRPr="00927382">
        <w:rPr>
          <w:rFonts w:ascii="Calibri" w:hAnsi="Calibri"/>
          <w:u w:val="single"/>
        </w:rPr>
        <w:t xml:space="preserve">. DO </w:t>
      </w:r>
      <w:r>
        <w:rPr>
          <w:rFonts w:ascii="Calibri" w:hAnsi="Calibri"/>
          <w:u w:val="single"/>
        </w:rPr>
        <w:t>31.12.2015</w:t>
      </w:r>
      <w:r w:rsidRPr="00927382">
        <w:rPr>
          <w:rFonts w:ascii="Calibri" w:hAnsi="Calibri"/>
          <w:u w:val="single"/>
        </w:rPr>
        <w:t>.</w:t>
      </w:r>
      <w:r w:rsidR="000D23BE">
        <w:rPr>
          <w:rFonts w:ascii="Calibri" w:hAnsi="Calibri"/>
        </w:rPr>
        <w:t xml:space="preserve"> (Obrazac RAS-  funkcijski)</w:t>
      </w:r>
    </w:p>
    <w:p w:rsidR="00054030" w:rsidRDefault="00054030" w:rsidP="0098307B">
      <w:pPr>
        <w:spacing w:line="276" w:lineRule="auto"/>
        <w:jc w:val="both"/>
        <w:rPr>
          <w:rFonts w:ascii="Calibri" w:hAnsi="Calibri"/>
        </w:rPr>
      </w:pPr>
    </w:p>
    <w:p w:rsidR="00054030" w:rsidRDefault="00DF77E5" w:rsidP="0098307B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Funkcijski se klasificiraju rashodi poslovanja i rashodi za nabavu nefinancijske imovine. Ukupni navedeni rashodi iznosili su u 2014. godini 550.832,99 kuna, a u 2015. godini 1.143.066,27 kuna i svi su funkcijski klasificirani kao 062 – Razvoj zajednice (AOP 080).</w:t>
      </w:r>
    </w:p>
    <w:p w:rsidR="000D23BE" w:rsidRDefault="000D23BE" w:rsidP="0098307B">
      <w:pPr>
        <w:spacing w:line="276" w:lineRule="auto"/>
        <w:jc w:val="both"/>
        <w:rPr>
          <w:rFonts w:ascii="Calibri" w:hAnsi="Calibri"/>
        </w:rPr>
      </w:pPr>
    </w:p>
    <w:p w:rsidR="000D23BE" w:rsidRDefault="000D23BE" w:rsidP="0098307B">
      <w:pPr>
        <w:spacing w:line="276" w:lineRule="auto"/>
        <w:jc w:val="both"/>
        <w:rPr>
          <w:rFonts w:ascii="Calibri" w:hAnsi="Calibri"/>
        </w:rPr>
      </w:pPr>
    </w:p>
    <w:p w:rsidR="00DF77E5" w:rsidRPr="00927382" w:rsidRDefault="00DF77E5" w:rsidP="00DF77E5">
      <w:pPr>
        <w:spacing w:line="276" w:lineRule="auto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lastRenderedPageBreak/>
        <w:t xml:space="preserve">3. </w:t>
      </w:r>
      <w:r w:rsidRPr="00927382">
        <w:rPr>
          <w:rFonts w:ascii="Calibri" w:hAnsi="Calibri"/>
          <w:u w:val="single"/>
        </w:rPr>
        <w:t xml:space="preserve">IZVJEŠTAJ O </w:t>
      </w:r>
      <w:r>
        <w:rPr>
          <w:rFonts w:ascii="Calibri" w:hAnsi="Calibri"/>
          <w:u w:val="single"/>
        </w:rPr>
        <w:t>PROMJENAMA U VRIJEDNOSTI I OBUJMU IMOVINE I OBVEZA OD 01.01.2015</w:t>
      </w:r>
      <w:r w:rsidRPr="00927382">
        <w:rPr>
          <w:rFonts w:ascii="Calibri" w:hAnsi="Calibri"/>
          <w:u w:val="single"/>
        </w:rPr>
        <w:t xml:space="preserve">. DO </w:t>
      </w:r>
      <w:r>
        <w:rPr>
          <w:rFonts w:ascii="Calibri" w:hAnsi="Calibri"/>
          <w:u w:val="single"/>
        </w:rPr>
        <w:t>31.12.2015</w:t>
      </w:r>
      <w:r w:rsidRPr="00927382">
        <w:rPr>
          <w:rFonts w:ascii="Calibri" w:hAnsi="Calibri"/>
          <w:u w:val="single"/>
        </w:rPr>
        <w:t>.</w:t>
      </w:r>
      <w:r w:rsidR="000D23BE">
        <w:rPr>
          <w:rFonts w:ascii="Calibri" w:hAnsi="Calibri"/>
        </w:rPr>
        <w:t xml:space="preserve"> (Obrazac P-VRIO)</w:t>
      </w:r>
    </w:p>
    <w:p w:rsidR="00DF77E5" w:rsidRDefault="00DF77E5" w:rsidP="00DF77E5">
      <w:pPr>
        <w:spacing w:line="276" w:lineRule="auto"/>
        <w:jc w:val="both"/>
        <w:rPr>
          <w:rFonts w:ascii="Calibri" w:hAnsi="Calibri"/>
        </w:rPr>
      </w:pPr>
    </w:p>
    <w:p w:rsidR="00DF77E5" w:rsidRDefault="00DF77E5" w:rsidP="00DF77E5">
      <w:pPr>
        <w:spacing w:line="276" w:lineRule="auto"/>
        <w:jc w:val="both"/>
        <w:rPr>
          <w:rFonts w:ascii="Calibri" w:hAnsi="Calibri"/>
        </w:rPr>
      </w:pPr>
      <w:r w:rsidRPr="004A7B20">
        <w:rPr>
          <w:rFonts w:asciiTheme="minorHAnsi" w:hAnsiTheme="minorHAnsi"/>
        </w:rPr>
        <w:t xml:space="preserve">Sukladno Pravilniku o financijskom izvještavanju u proračunskom računovodstvu, </w:t>
      </w:r>
      <w:r>
        <w:rPr>
          <w:rFonts w:asciiTheme="minorHAnsi" w:hAnsiTheme="minorHAnsi"/>
        </w:rPr>
        <w:t>u</w:t>
      </w:r>
      <w:r w:rsidRPr="00DF77E5">
        <w:rPr>
          <w:rFonts w:ascii="Calibri" w:hAnsi="Calibri"/>
        </w:rPr>
        <w:t xml:space="preserve"> Bilješkama uz Izvještaj o promjenama u vrijednosti i obujmu imovine i obveza objašnjavaju se značajnije promjene u vrijednosti i obujmu imovine i obveza.</w:t>
      </w:r>
    </w:p>
    <w:p w:rsidR="00DF77E5" w:rsidRDefault="00DF77E5" w:rsidP="00DF77E5">
      <w:pPr>
        <w:spacing w:line="276" w:lineRule="auto"/>
        <w:jc w:val="both"/>
        <w:rPr>
          <w:rFonts w:ascii="Calibri" w:hAnsi="Calibri"/>
        </w:rPr>
      </w:pPr>
    </w:p>
    <w:p w:rsidR="00DF77E5" w:rsidRDefault="00DF77E5" w:rsidP="00DF77E5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U promatranom razdoblju Agencija nije ostvarivala promjene u vrijednosti i obujmu imovine i obveza</w:t>
      </w:r>
      <w:r w:rsidR="00737A9D">
        <w:rPr>
          <w:rFonts w:ascii="Calibri" w:hAnsi="Calibri"/>
        </w:rPr>
        <w:t xml:space="preserve">, tako da su svi iznosi u obrascu P-VRIO jednaki nuli (0). </w:t>
      </w:r>
    </w:p>
    <w:p w:rsidR="00737A9D" w:rsidRDefault="00737A9D" w:rsidP="00DF77E5">
      <w:pPr>
        <w:spacing w:line="276" w:lineRule="auto"/>
        <w:jc w:val="both"/>
        <w:rPr>
          <w:rFonts w:ascii="Calibri" w:hAnsi="Calibri"/>
        </w:rPr>
      </w:pPr>
    </w:p>
    <w:p w:rsidR="00737A9D" w:rsidRDefault="00737A9D" w:rsidP="00DF77E5">
      <w:pPr>
        <w:spacing w:line="276" w:lineRule="auto"/>
        <w:jc w:val="both"/>
        <w:rPr>
          <w:rFonts w:ascii="Calibri" w:hAnsi="Calibri"/>
        </w:rPr>
      </w:pPr>
    </w:p>
    <w:p w:rsidR="00737A9D" w:rsidRPr="000D23BE" w:rsidRDefault="00737A9D" w:rsidP="00737A9D">
      <w:pPr>
        <w:spacing w:line="276" w:lineRule="auto"/>
        <w:rPr>
          <w:rFonts w:ascii="Calibri" w:hAnsi="Calibri"/>
        </w:rPr>
      </w:pPr>
      <w:r>
        <w:rPr>
          <w:rFonts w:ascii="Calibri" w:hAnsi="Calibri"/>
          <w:u w:val="single"/>
        </w:rPr>
        <w:t xml:space="preserve">4. </w:t>
      </w:r>
      <w:r w:rsidR="000D23BE">
        <w:rPr>
          <w:rFonts w:ascii="Calibri" w:hAnsi="Calibri"/>
          <w:u w:val="single"/>
        </w:rPr>
        <w:t>BILANCA</w:t>
      </w:r>
      <w:r>
        <w:rPr>
          <w:rFonts w:ascii="Calibri" w:hAnsi="Calibri"/>
          <w:u w:val="single"/>
        </w:rPr>
        <w:t xml:space="preserve"> ZA STANJE NA DAN</w:t>
      </w:r>
      <w:r w:rsidRPr="00927382">
        <w:rPr>
          <w:rFonts w:ascii="Calibri" w:hAnsi="Calibri"/>
          <w:u w:val="single"/>
        </w:rPr>
        <w:t xml:space="preserve"> </w:t>
      </w:r>
      <w:r>
        <w:rPr>
          <w:rFonts w:ascii="Calibri" w:hAnsi="Calibri"/>
          <w:u w:val="single"/>
        </w:rPr>
        <w:t>31.12.2015</w:t>
      </w:r>
      <w:r w:rsidRPr="00927382">
        <w:rPr>
          <w:rFonts w:ascii="Calibri" w:hAnsi="Calibri"/>
          <w:u w:val="single"/>
        </w:rPr>
        <w:t>.</w:t>
      </w:r>
      <w:r w:rsidR="000D23BE">
        <w:rPr>
          <w:rFonts w:ascii="Calibri" w:hAnsi="Calibri"/>
        </w:rPr>
        <w:t xml:space="preserve"> (Obrazac BIL)</w:t>
      </w:r>
    </w:p>
    <w:p w:rsidR="00E12490" w:rsidRDefault="00E12490" w:rsidP="00737A9D">
      <w:pPr>
        <w:spacing w:line="276" w:lineRule="auto"/>
        <w:rPr>
          <w:rFonts w:ascii="Calibri" w:hAnsi="Calibri"/>
          <w:u w:val="single"/>
        </w:rPr>
      </w:pPr>
    </w:p>
    <w:p w:rsidR="00E12490" w:rsidRDefault="00B20C67" w:rsidP="00B20C67">
      <w:pPr>
        <w:spacing w:line="276" w:lineRule="auto"/>
        <w:jc w:val="both"/>
        <w:rPr>
          <w:rFonts w:asciiTheme="minorHAnsi" w:hAnsiTheme="minorHAnsi"/>
        </w:rPr>
      </w:pPr>
      <w:r>
        <w:rPr>
          <w:rFonts w:ascii="Calibri" w:hAnsi="Calibri"/>
        </w:rPr>
        <w:t xml:space="preserve">Bilješke uz Bilancu također su izrađene sukladno odredbama </w:t>
      </w:r>
      <w:r>
        <w:rPr>
          <w:rFonts w:asciiTheme="minorHAnsi" w:hAnsiTheme="minorHAnsi"/>
        </w:rPr>
        <w:t>Pravilnika</w:t>
      </w:r>
      <w:r w:rsidRPr="004A7B20">
        <w:rPr>
          <w:rFonts w:asciiTheme="minorHAnsi" w:hAnsiTheme="minorHAnsi"/>
        </w:rPr>
        <w:t xml:space="preserve"> o financijskom izvještavanju u proračunskom računovodstvu</w:t>
      </w:r>
      <w:r>
        <w:rPr>
          <w:rFonts w:asciiTheme="minorHAnsi" w:hAnsiTheme="minorHAnsi"/>
        </w:rPr>
        <w:t>.</w:t>
      </w:r>
    </w:p>
    <w:p w:rsidR="00B20C67" w:rsidRDefault="00B20C67" w:rsidP="00B20C67">
      <w:pPr>
        <w:spacing w:line="276" w:lineRule="auto"/>
        <w:jc w:val="both"/>
        <w:rPr>
          <w:rFonts w:asciiTheme="minorHAnsi" w:hAnsiTheme="minorHAnsi"/>
        </w:rPr>
      </w:pPr>
    </w:p>
    <w:p w:rsidR="00077265" w:rsidRDefault="005F09BF" w:rsidP="00B20C67">
      <w:p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Bilanca prikazuje stanje na dan 01. siječnja 2015. godine i stanje na dan 31. prosinca 2015. godine.</w:t>
      </w:r>
    </w:p>
    <w:p w:rsidR="005F09BF" w:rsidRDefault="005F09BF" w:rsidP="00B20C67">
      <w:pPr>
        <w:spacing w:line="276" w:lineRule="auto"/>
        <w:jc w:val="both"/>
        <w:rPr>
          <w:rFonts w:asciiTheme="minorHAnsi" w:hAnsiTheme="minorHAnsi"/>
        </w:rPr>
      </w:pPr>
    </w:p>
    <w:p w:rsidR="005F09BF" w:rsidRDefault="005F09BF" w:rsidP="00B20C67">
      <w:p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Vrijednost imovine na početku promatranog razdoblja iznosila je </w:t>
      </w:r>
      <w:r w:rsidR="00201063">
        <w:rPr>
          <w:rFonts w:asciiTheme="minorHAnsi" w:hAnsiTheme="minorHAnsi"/>
        </w:rPr>
        <w:t>115.616 kuna</w:t>
      </w:r>
      <w:r w:rsidR="002D194C">
        <w:rPr>
          <w:rFonts w:asciiTheme="minorHAnsi" w:hAnsiTheme="minorHAnsi"/>
        </w:rPr>
        <w:t xml:space="preserve">, dok je na kraju razdoblja iznosila </w:t>
      </w:r>
      <w:r w:rsidR="00201063">
        <w:rPr>
          <w:rFonts w:asciiTheme="minorHAnsi" w:hAnsiTheme="minorHAnsi"/>
        </w:rPr>
        <w:t xml:space="preserve">204.347 kuna (AOP 001). Indeks promjene iznosi 176,7. Od toga se u najvećoj mjeri povećala vrijednost nefinancijske imovine, radi kupovine službenog vozila u iznosu od 69.900 kuna (AOP 025). Financijska imovina s početka do kraja promatranog razdoblja povećala se sa 100.233 kune na 120.715 kuna (AOP </w:t>
      </w:r>
      <w:r w:rsidR="00A5370C">
        <w:rPr>
          <w:rFonts w:asciiTheme="minorHAnsi" w:hAnsiTheme="minorHAnsi"/>
        </w:rPr>
        <w:t>063)</w:t>
      </w:r>
      <w:r w:rsidR="00201063">
        <w:rPr>
          <w:rFonts w:asciiTheme="minorHAnsi" w:hAnsiTheme="minorHAnsi"/>
        </w:rPr>
        <w:t>.</w:t>
      </w:r>
      <w:r w:rsidR="00A5370C">
        <w:rPr>
          <w:rFonts w:asciiTheme="minorHAnsi" w:hAnsiTheme="minorHAnsi"/>
        </w:rPr>
        <w:t xml:space="preserve"> Sva financijska imovina odnosi se na Novac na računu kod tuzemnih poslovnih banaka (AOP 067).</w:t>
      </w:r>
    </w:p>
    <w:p w:rsidR="00A5370C" w:rsidRDefault="00A5370C" w:rsidP="00B20C67">
      <w:pPr>
        <w:spacing w:line="276" w:lineRule="auto"/>
        <w:jc w:val="both"/>
        <w:rPr>
          <w:rFonts w:asciiTheme="minorHAnsi" w:hAnsiTheme="minorHAnsi"/>
        </w:rPr>
      </w:pPr>
    </w:p>
    <w:p w:rsidR="00A5370C" w:rsidRDefault="00A5370C" w:rsidP="00B20C67">
      <w:p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Obveze i vlastiti izvori jednaki su vrijednosti imovine (AOP 162). Najznačajnije povećanje odnosi se na Vlastite izvore iz proračuna koji su se povećali sa 20.348 kuna na 88.632 kune (AOP 227) s indeksom od 434,8. Razlog je također već navedeno službeno vozilo.</w:t>
      </w:r>
      <w:r w:rsidR="00264580">
        <w:rPr>
          <w:rFonts w:asciiTheme="minorHAnsi" w:hAnsiTheme="minorHAnsi"/>
        </w:rPr>
        <w:t xml:space="preserve"> Nedospjela potraživanja za prihode poslovanja iznosila su 31. prosinca 2015. godine 2.000 kuna (AOP 250), koja su naplaćena u 2016. godini.</w:t>
      </w:r>
    </w:p>
    <w:p w:rsidR="00EF0CF9" w:rsidRDefault="00EF0CF9" w:rsidP="00B20C67">
      <w:pPr>
        <w:spacing w:line="276" w:lineRule="auto"/>
        <w:jc w:val="both"/>
        <w:rPr>
          <w:rFonts w:asciiTheme="minorHAnsi" w:hAnsiTheme="minorHAnsi"/>
        </w:rPr>
      </w:pPr>
    </w:p>
    <w:p w:rsidR="00EF0CF9" w:rsidRDefault="00EF0CF9" w:rsidP="00B20C67">
      <w:pPr>
        <w:spacing w:line="276" w:lineRule="auto"/>
        <w:jc w:val="both"/>
        <w:rPr>
          <w:rFonts w:asciiTheme="minorHAnsi" w:hAnsiTheme="minorHAnsi"/>
        </w:rPr>
      </w:pPr>
    </w:p>
    <w:p w:rsidR="00EF0CF9" w:rsidRPr="00EF0CF9" w:rsidRDefault="00EF0CF9" w:rsidP="00B20C67">
      <w:pPr>
        <w:spacing w:line="276" w:lineRule="auto"/>
        <w:jc w:val="both"/>
        <w:rPr>
          <w:rFonts w:asciiTheme="minorHAnsi" w:hAnsiTheme="minorHAnsi"/>
          <w:u w:val="single"/>
        </w:rPr>
      </w:pPr>
      <w:r w:rsidRPr="00EF0CF9">
        <w:rPr>
          <w:rFonts w:asciiTheme="minorHAnsi" w:hAnsiTheme="minorHAnsi"/>
          <w:u w:val="single"/>
        </w:rPr>
        <w:t>5. IZVJEŠTAJ O OBVEZAMA ZA RAZDOBLJE OD 31.10.2015. DO 31.12.2015.</w:t>
      </w:r>
    </w:p>
    <w:p w:rsidR="00B20C67" w:rsidRPr="00B20C67" w:rsidRDefault="00B20C67" w:rsidP="00B20C67">
      <w:pPr>
        <w:spacing w:line="276" w:lineRule="auto"/>
        <w:jc w:val="both"/>
        <w:rPr>
          <w:rFonts w:ascii="Calibri" w:hAnsi="Calibri"/>
        </w:rPr>
      </w:pPr>
    </w:p>
    <w:p w:rsidR="00737A9D" w:rsidRDefault="00EF0CF9" w:rsidP="00B20C67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U obrascu Izvještaj o obvezama prikazane su Obveze za rashode poslovanja u iznosu od 476.357,62 kune (AOP 004), od čega su obveze za materijalne rashode 262.002,84 kune</w:t>
      </w:r>
      <w:r w:rsidR="00B9633E">
        <w:rPr>
          <w:rFonts w:ascii="Calibri" w:hAnsi="Calibri"/>
        </w:rPr>
        <w:t xml:space="preserve"> </w:t>
      </w:r>
      <w:r w:rsidR="00B9633E">
        <w:rPr>
          <w:rFonts w:ascii="Calibri" w:hAnsi="Calibri"/>
        </w:rPr>
        <w:t xml:space="preserve">(AOP </w:t>
      </w:r>
      <w:r w:rsidR="00B9633E">
        <w:rPr>
          <w:rFonts w:ascii="Calibri" w:hAnsi="Calibri"/>
        </w:rPr>
        <w:t>006</w:t>
      </w:r>
      <w:r w:rsidR="00B9633E">
        <w:rPr>
          <w:rFonts w:ascii="Calibri" w:hAnsi="Calibri"/>
        </w:rPr>
        <w:t>)</w:t>
      </w:r>
      <w:r>
        <w:rPr>
          <w:rFonts w:ascii="Calibri" w:hAnsi="Calibri"/>
        </w:rPr>
        <w:t>, a obveze za zaposlene 189.484,00 kune</w:t>
      </w:r>
      <w:r w:rsidR="00B9633E">
        <w:rPr>
          <w:rFonts w:ascii="Calibri" w:hAnsi="Calibri"/>
        </w:rPr>
        <w:t xml:space="preserve"> </w:t>
      </w:r>
      <w:r w:rsidR="00B9633E">
        <w:rPr>
          <w:rFonts w:ascii="Calibri" w:hAnsi="Calibri"/>
        </w:rPr>
        <w:t xml:space="preserve">(AOP </w:t>
      </w:r>
      <w:r w:rsidR="00B9633E">
        <w:rPr>
          <w:rFonts w:ascii="Calibri" w:hAnsi="Calibri"/>
        </w:rPr>
        <w:t>005</w:t>
      </w:r>
      <w:r w:rsidR="00B9633E">
        <w:rPr>
          <w:rFonts w:ascii="Calibri" w:hAnsi="Calibri"/>
        </w:rPr>
        <w:t>)</w:t>
      </w:r>
      <w:r>
        <w:rPr>
          <w:rFonts w:ascii="Calibri" w:hAnsi="Calibri"/>
        </w:rPr>
        <w:t>.</w:t>
      </w:r>
    </w:p>
    <w:p w:rsidR="00B9633E" w:rsidRDefault="00B9633E" w:rsidP="00B20C67">
      <w:pPr>
        <w:spacing w:line="276" w:lineRule="auto"/>
        <w:jc w:val="both"/>
        <w:rPr>
          <w:rFonts w:ascii="Calibri" w:hAnsi="Calibri"/>
        </w:rPr>
      </w:pPr>
    </w:p>
    <w:p w:rsidR="00B9633E" w:rsidRPr="00224120" w:rsidRDefault="00B9633E" w:rsidP="00B20C67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Navedene </w:t>
      </w:r>
      <w:r>
        <w:rPr>
          <w:rFonts w:ascii="Calibri" w:hAnsi="Calibri"/>
        </w:rPr>
        <w:t>Obveze za rashode poslovanja</w:t>
      </w:r>
      <w:r>
        <w:rPr>
          <w:rFonts w:ascii="Calibri" w:hAnsi="Calibri"/>
        </w:rPr>
        <w:t xml:space="preserve"> podmirene su u izvještajnom razdoblju u iznosu od 375.157,25 kuna (AOP 020), tako stanje obveza na kraju izvještajnog razdoblja iznosi 101.200,37 kuna (AOP 038).</w:t>
      </w:r>
      <w:r w:rsidR="00274AEE">
        <w:rPr>
          <w:rFonts w:ascii="Calibri" w:hAnsi="Calibri"/>
        </w:rPr>
        <w:t xml:space="preserve"> Sve navedene obveze su nedospjele, dospjelih obveza nije bilo.</w:t>
      </w:r>
      <w:bookmarkStart w:id="0" w:name="_GoBack"/>
      <w:bookmarkEnd w:id="0"/>
    </w:p>
    <w:sectPr w:rsidR="00B9633E" w:rsidRPr="00224120" w:rsidSect="00B878C1">
      <w:headerReference w:type="default" r:id="rId9"/>
      <w:footerReference w:type="default" r:id="rId10"/>
      <w:pgSz w:w="11906" w:h="16838"/>
      <w:pgMar w:top="215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93C" w:rsidRDefault="0010593C">
      <w:r>
        <w:separator/>
      </w:r>
    </w:p>
  </w:endnote>
  <w:endnote w:type="continuationSeparator" w:id="0">
    <w:p w:rsidR="0010593C" w:rsidRDefault="00105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071689"/>
      <w:docPartObj>
        <w:docPartGallery w:val="Page Numbers (Bottom of Page)"/>
        <w:docPartUnique/>
      </w:docPartObj>
    </w:sdtPr>
    <w:sdtEndPr/>
    <w:sdtContent>
      <w:p w:rsidR="00486079" w:rsidRDefault="00486079">
        <w:pPr>
          <w:pStyle w:val="Podnoje"/>
          <w:jc w:val="right"/>
        </w:pPr>
      </w:p>
      <w:p w:rsidR="00486079" w:rsidRDefault="0048607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4AEE">
          <w:rPr>
            <w:noProof/>
          </w:rPr>
          <w:t>7</w:t>
        </w:r>
        <w:r>
          <w:fldChar w:fldCharType="end"/>
        </w:r>
      </w:p>
    </w:sdtContent>
  </w:sdt>
  <w:p w:rsidR="00C56C64" w:rsidRPr="0086546B" w:rsidRDefault="00C56C64" w:rsidP="0086546B">
    <w:pPr>
      <w:pStyle w:val="Podnoje"/>
      <w:jc w:val="center"/>
      <w:rPr>
        <w:rFonts w:ascii="Arial" w:hAnsi="Arial"/>
        <w:color w:val="999999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93C" w:rsidRDefault="0010593C">
      <w:r>
        <w:separator/>
      </w:r>
    </w:p>
  </w:footnote>
  <w:footnote w:type="continuationSeparator" w:id="0">
    <w:p w:rsidR="0010593C" w:rsidRDefault="001059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C64" w:rsidRPr="004F5CBA" w:rsidRDefault="004F5CBA" w:rsidP="00077265">
    <w:pPr>
      <w:pStyle w:val="Zaglavlje"/>
      <w:tabs>
        <w:tab w:val="clear" w:pos="9072"/>
        <w:tab w:val="right" w:pos="10440"/>
      </w:tabs>
      <w:ind w:left="-1417" w:right="-1368"/>
      <w:rPr>
        <w:rFonts w:asciiTheme="minorHAnsi" w:hAnsiTheme="minorHAnsi"/>
        <w:color w:val="808080"/>
      </w:rPr>
    </w:pPr>
    <w:r w:rsidRPr="00F63EC9">
      <w:rPr>
        <w:noProof/>
        <w:color w:val="80808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4733925</wp:posOffset>
          </wp:positionH>
          <wp:positionV relativeFrom="paragraph">
            <wp:posOffset>-165735</wp:posOffset>
          </wp:positionV>
          <wp:extent cx="1028700" cy="790575"/>
          <wp:effectExtent l="0" t="0" r="0" b="9525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6C64" w:rsidRPr="00F63EC9">
      <w:rPr>
        <w:color w:val="808080"/>
      </w:rPr>
      <w:t xml:space="preserve">                         </w:t>
    </w:r>
    <w:r w:rsidRPr="004F5CBA">
      <w:rPr>
        <w:rFonts w:asciiTheme="minorHAnsi" w:hAnsiTheme="minorHAnsi"/>
        <w:color w:val="808080"/>
      </w:rPr>
      <w:t xml:space="preserve">Bilješke uz </w:t>
    </w:r>
    <w:r w:rsidR="00077265">
      <w:rPr>
        <w:rFonts w:asciiTheme="minorHAnsi" w:hAnsiTheme="minorHAnsi"/>
        <w:color w:val="808080"/>
      </w:rPr>
      <w:t xml:space="preserve">godišnje </w:t>
    </w:r>
    <w:r>
      <w:rPr>
        <w:rFonts w:asciiTheme="minorHAnsi" w:hAnsiTheme="minorHAnsi"/>
        <w:color w:val="808080"/>
      </w:rPr>
      <w:t xml:space="preserve">financijske izvještaje </w:t>
    </w:r>
    <w:r w:rsidRPr="004F5CBA">
      <w:rPr>
        <w:rFonts w:asciiTheme="minorHAnsi" w:hAnsiTheme="minorHAnsi"/>
        <w:color w:val="808080"/>
      </w:rPr>
      <w:t>za 2015. godinu</w:t>
    </w:r>
    <w:r w:rsidR="00C56C64" w:rsidRPr="004F5CBA">
      <w:rPr>
        <w:rFonts w:asciiTheme="minorHAnsi" w:hAnsiTheme="minorHAnsi"/>
        <w:color w:val="808080"/>
      </w:rPr>
      <w:t xml:space="preserve">                   </w:t>
    </w:r>
  </w:p>
  <w:p w:rsidR="00AD0F1B" w:rsidRPr="000F40E6" w:rsidRDefault="00C56C64" w:rsidP="004F5CBA">
    <w:pPr>
      <w:pStyle w:val="Zaglavlje"/>
      <w:rPr>
        <w:rFonts w:ascii="Calibri" w:hAnsi="Calibri"/>
        <w:color w:val="808080"/>
      </w:rPr>
    </w:pPr>
    <w:r w:rsidRPr="000F40E6">
      <w:rPr>
        <w:rFonts w:ascii="Calibri" w:hAnsi="Calibri"/>
        <w:b/>
        <w:color w:val="808080"/>
      </w:rP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B73458"/>
    <w:multiLevelType w:val="hybridMultilevel"/>
    <w:tmpl w:val="C4129C3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D1E6187"/>
    <w:multiLevelType w:val="hybridMultilevel"/>
    <w:tmpl w:val="54C0AC30"/>
    <w:lvl w:ilvl="0" w:tplc="812290F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C3"/>
    <w:rsid w:val="00004C0E"/>
    <w:rsid w:val="0003234B"/>
    <w:rsid w:val="00050504"/>
    <w:rsid w:val="00054030"/>
    <w:rsid w:val="00075AAF"/>
    <w:rsid w:val="00077265"/>
    <w:rsid w:val="000D23BE"/>
    <w:rsid w:val="000F40E6"/>
    <w:rsid w:val="0010593C"/>
    <w:rsid w:val="00112F68"/>
    <w:rsid w:val="001653CB"/>
    <w:rsid w:val="00184479"/>
    <w:rsid w:val="00201063"/>
    <w:rsid w:val="00206946"/>
    <w:rsid w:val="00224120"/>
    <w:rsid w:val="00263B90"/>
    <w:rsid w:val="00264580"/>
    <w:rsid w:val="00274AEE"/>
    <w:rsid w:val="002970F3"/>
    <w:rsid w:val="002D194C"/>
    <w:rsid w:val="00350F80"/>
    <w:rsid w:val="00486079"/>
    <w:rsid w:val="004A7B20"/>
    <w:rsid w:val="004F5CBA"/>
    <w:rsid w:val="00594F16"/>
    <w:rsid w:val="005F09BF"/>
    <w:rsid w:val="00614523"/>
    <w:rsid w:val="00647468"/>
    <w:rsid w:val="006A328B"/>
    <w:rsid w:val="006B65AB"/>
    <w:rsid w:val="00737A9D"/>
    <w:rsid w:val="0075323D"/>
    <w:rsid w:val="00755610"/>
    <w:rsid w:val="007F662E"/>
    <w:rsid w:val="007F6FD4"/>
    <w:rsid w:val="0086546B"/>
    <w:rsid w:val="008F1AE8"/>
    <w:rsid w:val="00927382"/>
    <w:rsid w:val="0098307B"/>
    <w:rsid w:val="00A2192E"/>
    <w:rsid w:val="00A5370C"/>
    <w:rsid w:val="00AD0F1B"/>
    <w:rsid w:val="00AD4829"/>
    <w:rsid w:val="00B16401"/>
    <w:rsid w:val="00B20C67"/>
    <w:rsid w:val="00B64C5A"/>
    <w:rsid w:val="00B878C1"/>
    <w:rsid w:val="00B93092"/>
    <w:rsid w:val="00B9633E"/>
    <w:rsid w:val="00BA3FCB"/>
    <w:rsid w:val="00C071D2"/>
    <w:rsid w:val="00C56C64"/>
    <w:rsid w:val="00D246B0"/>
    <w:rsid w:val="00D34D9E"/>
    <w:rsid w:val="00D41501"/>
    <w:rsid w:val="00D83244"/>
    <w:rsid w:val="00D85B6C"/>
    <w:rsid w:val="00DB350C"/>
    <w:rsid w:val="00DD3685"/>
    <w:rsid w:val="00DF77E5"/>
    <w:rsid w:val="00DF7C7A"/>
    <w:rsid w:val="00E12490"/>
    <w:rsid w:val="00E21D4F"/>
    <w:rsid w:val="00E66760"/>
    <w:rsid w:val="00E802CB"/>
    <w:rsid w:val="00EF0CF9"/>
    <w:rsid w:val="00F077C2"/>
    <w:rsid w:val="00F445A4"/>
    <w:rsid w:val="00F63EC9"/>
    <w:rsid w:val="00FC20C3"/>
    <w:rsid w:val="00FD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765E2E9-8EB3-4D15-A27C-7A23B18C4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62E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FC20C3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FC20C3"/>
    <w:pPr>
      <w:tabs>
        <w:tab w:val="center" w:pos="4536"/>
        <w:tab w:val="right" w:pos="9072"/>
      </w:tabs>
    </w:pPr>
  </w:style>
  <w:style w:type="table" w:styleId="Reetkatablice">
    <w:name w:val="Table Grid"/>
    <w:basedOn w:val="Obinatablica"/>
    <w:rsid w:val="00C071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rsid w:val="00F63EC9"/>
    <w:rPr>
      <w:color w:val="0000FF"/>
      <w:u w:val="single"/>
    </w:rPr>
  </w:style>
  <w:style w:type="paragraph" w:styleId="Odlomakpopisa">
    <w:name w:val="List Paragraph"/>
    <w:basedOn w:val="Normal"/>
    <w:uiPriority w:val="99"/>
    <w:qFormat/>
    <w:rsid w:val="00050504"/>
    <w:pPr>
      <w:spacing w:after="160" w:line="259" w:lineRule="auto"/>
      <w:ind w:left="720"/>
      <w:contextualSpacing/>
    </w:pPr>
    <w:rPr>
      <w:rFonts w:eastAsia="Calibri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4860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3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vta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gareta.pticek@vta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7</Pages>
  <Words>1505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Općina Špišić Bukovica</vt:lpstr>
    </vt:vector>
  </TitlesOfParts>
  <Company/>
  <LinksUpToDate>false</LinksUpToDate>
  <CharactersWithSpaces>10070</CharactersWithSpaces>
  <SharedDoc>false</SharedDoc>
  <HLinks>
    <vt:vector size="6" baseType="variant">
      <vt:variant>
        <vt:i4>1703971</vt:i4>
      </vt:variant>
      <vt:variant>
        <vt:i4>0</vt:i4>
      </vt:variant>
      <vt:variant>
        <vt:i4>0</vt:i4>
      </vt:variant>
      <vt:variant>
        <vt:i4>5</vt:i4>
      </vt:variant>
      <vt:variant>
        <vt:lpwstr>mailto:ured@vta.hr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Općina Špišić Bukovica</dc:title>
  <dc:subject/>
  <dc:creator>Grad 1</dc:creator>
  <cp:keywords/>
  <dc:description/>
  <cp:lastModifiedBy>VTA</cp:lastModifiedBy>
  <cp:revision>16</cp:revision>
  <cp:lastPrinted>2014-08-26T09:45:00Z</cp:lastPrinted>
  <dcterms:created xsi:type="dcterms:W3CDTF">2016-01-29T20:08:00Z</dcterms:created>
  <dcterms:modified xsi:type="dcterms:W3CDTF">2016-01-31T19:46:00Z</dcterms:modified>
</cp:coreProperties>
</file>