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EC6E" w14:textId="4CFCCBA7" w:rsidR="004F5CBA" w:rsidRDefault="00E872B8" w:rsidP="00B65B9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RAZVOJNA AGENCIJA VTA</w:t>
      </w:r>
    </w:p>
    <w:p w14:paraId="213DA73C" w14:textId="297C26CD" w:rsidR="00E872B8" w:rsidRDefault="00E872B8" w:rsidP="00B65B9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33000 VIROVITICA</w:t>
      </w:r>
    </w:p>
    <w:p w14:paraId="011608CE" w14:textId="38D575DE" w:rsidR="00E872B8" w:rsidRDefault="00E872B8" w:rsidP="00B65B9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Trg bana Josipa Jelačića 21</w:t>
      </w:r>
    </w:p>
    <w:p w14:paraId="535D0674" w14:textId="083F2760" w:rsidR="00E872B8" w:rsidRDefault="00E872B8" w:rsidP="00B65B9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OIB: 90566826087</w:t>
      </w:r>
    </w:p>
    <w:p w14:paraId="44FAF9D0" w14:textId="6C74C5AF" w:rsidR="00E872B8" w:rsidRDefault="00E872B8" w:rsidP="00B65B9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MBS: 010088936</w:t>
      </w:r>
    </w:p>
    <w:p w14:paraId="1E207E2B" w14:textId="7C13AACA" w:rsidR="00E872B8" w:rsidRDefault="00E872B8" w:rsidP="00B65B9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MB: 4148398</w:t>
      </w:r>
    </w:p>
    <w:p w14:paraId="4A2A8CC6" w14:textId="0416634F" w:rsidR="00C349A2" w:rsidRDefault="00943F0A" w:rsidP="00B65B9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Š</w:t>
      </w:r>
      <w:r w:rsidR="00C6763A">
        <w:rPr>
          <w:rFonts w:ascii="Calibri" w:hAnsi="Calibri"/>
          <w:b/>
        </w:rPr>
        <w:t xml:space="preserve">ifra  </w:t>
      </w:r>
      <w:r w:rsidR="00C349A2">
        <w:rPr>
          <w:rFonts w:ascii="Calibri" w:hAnsi="Calibri"/>
          <w:b/>
        </w:rPr>
        <w:t>djelatnosti: 7022</w:t>
      </w:r>
      <w:r w:rsidR="00C349A2">
        <w:rPr>
          <w:rFonts w:ascii="Calibri" w:hAnsi="Calibri"/>
          <w:b/>
        </w:rPr>
        <w:tab/>
      </w:r>
      <w:r w:rsidR="00C349A2">
        <w:rPr>
          <w:rFonts w:ascii="Calibri" w:hAnsi="Calibri"/>
          <w:b/>
        </w:rPr>
        <w:tab/>
      </w:r>
      <w:r w:rsidR="00C349A2">
        <w:rPr>
          <w:rFonts w:ascii="Calibri" w:hAnsi="Calibri"/>
          <w:b/>
        </w:rPr>
        <w:tab/>
      </w:r>
      <w:r w:rsidR="00C349A2">
        <w:rPr>
          <w:rFonts w:ascii="Calibri" w:hAnsi="Calibri"/>
          <w:b/>
        </w:rPr>
        <w:tab/>
      </w:r>
      <w:r w:rsidR="00C349A2">
        <w:rPr>
          <w:rFonts w:ascii="Calibri" w:hAnsi="Calibri"/>
          <w:b/>
        </w:rPr>
        <w:tab/>
      </w:r>
    </w:p>
    <w:p w14:paraId="155609E6" w14:textId="00971370" w:rsidR="00C349A2" w:rsidRDefault="00C349A2" w:rsidP="00B65B9E">
      <w:pPr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Razina: 21</w:t>
      </w:r>
    </w:p>
    <w:p w14:paraId="7EC8371B" w14:textId="6174ED41" w:rsidR="00C349A2" w:rsidRDefault="00C349A2" w:rsidP="00B65B9E">
      <w:pPr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RKP: 48234</w:t>
      </w:r>
    </w:p>
    <w:p w14:paraId="787878D1" w14:textId="30BA11CE" w:rsidR="00C349A2" w:rsidRDefault="00943F0A" w:rsidP="00B65B9E">
      <w:pPr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Š</w:t>
      </w:r>
      <w:r w:rsidR="00C6763A">
        <w:rPr>
          <w:rFonts w:ascii="Calibri" w:hAnsi="Calibri"/>
          <w:b/>
        </w:rPr>
        <w:t xml:space="preserve">ifra  </w:t>
      </w:r>
      <w:r w:rsidR="008D1096">
        <w:rPr>
          <w:rFonts w:ascii="Calibri" w:hAnsi="Calibri"/>
          <w:b/>
        </w:rPr>
        <w:t>županije: 10</w:t>
      </w:r>
    </w:p>
    <w:p w14:paraId="2F4A0858" w14:textId="46C651FA" w:rsidR="008D1096" w:rsidRDefault="00943F0A" w:rsidP="00B65B9E">
      <w:pPr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Š</w:t>
      </w:r>
      <w:r w:rsidR="00C6763A">
        <w:rPr>
          <w:rFonts w:ascii="Calibri" w:hAnsi="Calibri"/>
          <w:b/>
        </w:rPr>
        <w:t xml:space="preserve">ifra  </w:t>
      </w:r>
      <w:r w:rsidR="008D1096">
        <w:rPr>
          <w:rFonts w:ascii="Calibri" w:hAnsi="Calibri"/>
          <w:b/>
        </w:rPr>
        <w:t>grada: 491</w:t>
      </w:r>
    </w:p>
    <w:p w14:paraId="5985A9E5" w14:textId="234C5ADE" w:rsidR="008D1096" w:rsidRDefault="008D1096" w:rsidP="00B65B9E">
      <w:pPr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Oznaka razdoblja: </w:t>
      </w:r>
      <w:r w:rsidR="00CA7B7D">
        <w:rPr>
          <w:rFonts w:ascii="Calibri" w:hAnsi="Calibri"/>
          <w:b/>
        </w:rPr>
        <w:t>2024</w:t>
      </w:r>
      <w:r>
        <w:rPr>
          <w:rFonts w:ascii="Calibri" w:hAnsi="Calibri"/>
          <w:b/>
        </w:rPr>
        <w:t>-12</w:t>
      </w:r>
    </w:p>
    <w:p w14:paraId="5C420D73" w14:textId="77777777" w:rsidR="004F5CBA" w:rsidRDefault="004F5CBA" w:rsidP="00B65B9E">
      <w:pPr>
        <w:spacing w:line="276" w:lineRule="auto"/>
        <w:rPr>
          <w:rFonts w:ascii="Calibri" w:hAnsi="Calibri"/>
          <w:b/>
        </w:rPr>
      </w:pPr>
    </w:p>
    <w:p w14:paraId="6D0ACF23" w14:textId="77777777" w:rsidR="004F5CBA" w:rsidRDefault="004F5CBA" w:rsidP="00B65B9E">
      <w:pPr>
        <w:spacing w:line="276" w:lineRule="auto"/>
        <w:jc w:val="center"/>
        <w:rPr>
          <w:rFonts w:ascii="Calibri" w:hAnsi="Calibri"/>
          <w:b/>
        </w:rPr>
      </w:pPr>
    </w:p>
    <w:p w14:paraId="37D8685B" w14:textId="77777777" w:rsidR="004F5CBA" w:rsidRPr="00C349A2" w:rsidRDefault="004F5CBA" w:rsidP="00B65B9E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C349A2">
        <w:rPr>
          <w:rFonts w:ascii="Calibri" w:hAnsi="Calibri"/>
          <w:b/>
          <w:sz w:val="28"/>
          <w:szCs w:val="28"/>
        </w:rPr>
        <w:t>BILJEŠKE UZ FINANCIJSKE IZVJEŠTAJE</w:t>
      </w:r>
    </w:p>
    <w:p w14:paraId="042838D7" w14:textId="39FFA82E" w:rsidR="004F5CBA" w:rsidRPr="00C349A2" w:rsidRDefault="00673148" w:rsidP="00B65B9E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C349A2">
        <w:rPr>
          <w:rFonts w:ascii="Calibri" w:hAnsi="Calibri"/>
          <w:b/>
          <w:sz w:val="28"/>
          <w:szCs w:val="28"/>
        </w:rPr>
        <w:t>ZA RAZDOBLJE OD 01.01.</w:t>
      </w:r>
      <w:r w:rsidR="00CA7B7D">
        <w:rPr>
          <w:rFonts w:ascii="Calibri" w:hAnsi="Calibri"/>
          <w:b/>
          <w:sz w:val="28"/>
          <w:szCs w:val="28"/>
        </w:rPr>
        <w:t>2024</w:t>
      </w:r>
      <w:r w:rsidRPr="00C349A2">
        <w:rPr>
          <w:rFonts w:ascii="Calibri" w:hAnsi="Calibri"/>
          <w:b/>
          <w:sz w:val="28"/>
          <w:szCs w:val="28"/>
        </w:rPr>
        <w:t>. DO 3</w:t>
      </w:r>
      <w:r w:rsidR="00E872B8" w:rsidRPr="00C349A2">
        <w:rPr>
          <w:rFonts w:ascii="Calibri" w:hAnsi="Calibri"/>
          <w:b/>
          <w:sz w:val="28"/>
          <w:szCs w:val="28"/>
        </w:rPr>
        <w:t>1</w:t>
      </w:r>
      <w:r w:rsidRPr="00C349A2">
        <w:rPr>
          <w:rFonts w:ascii="Calibri" w:hAnsi="Calibri"/>
          <w:b/>
          <w:sz w:val="28"/>
          <w:szCs w:val="28"/>
        </w:rPr>
        <w:t>.</w:t>
      </w:r>
      <w:r w:rsidR="00E872B8" w:rsidRPr="00C349A2">
        <w:rPr>
          <w:rFonts w:ascii="Calibri" w:hAnsi="Calibri"/>
          <w:b/>
          <w:sz w:val="28"/>
          <w:szCs w:val="28"/>
        </w:rPr>
        <w:t>12</w:t>
      </w:r>
      <w:r w:rsidRPr="00C349A2">
        <w:rPr>
          <w:rFonts w:ascii="Calibri" w:hAnsi="Calibri"/>
          <w:b/>
          <w:sz w:val="28"/>
          <w:szCs w:val="28"/>
        </w:rPr>
        <w:t>.</w:t>
      </w:r>
      <w:r w:rsidR="00CA7B7D">
        <w:rPr>
          <w:rFonts w:ascii="Calibri" w:hAnsi="Calibri"/>
          <w:b/>
          <w:sz w:val="28"/>
          <w:szCs w:val="28"/>
        </w:rPr>
        <w:t>2024</w:t>
      </w:r>
      <w:r w:rsidR="004F5CBA" w:rsidRPr="00C349A2">
        <w:rPr>
          <w:rFonts w:ascii="Calibri" w:hAnsi="Calibri"/>
          <w:b/>
          <w:sz w:val="28"/>
          <w:szCs w:val="28"/>
        </w:rPr>
        <w:t>.</w:t>
      </w:r>
    </w:p>
    <w:p w14:paraId="1619320D" w14:textId="77777777" w:rsidR="004F5CBA" w:rsidRPr="004F5CBA" w:rsidRDefault="004F5CBA" w:rsidP="00B65B9E">
      <w:pPr>
        <w:spacing w:line="276" w:lineRule="auto"/>
        <w:jc w:val="center"/>
        <w:rPr>
          <w:rFonts w:ascii="Calibri" w:hAnsi="Calibri"/>
        </w:rPr>
      </w:pPr>
    </w:p>
    <w:p w14:paraId="78AF5642" w14:textId="77777777" w:rsidR="004F5CBA" w:rsidRPr="00077265" w:rsidRDefault="00D34D9E" w:rsidP="00B65B9E">
      <w:pPr>
        <w:spacing w:line="276" w:lineRule="auto"/>
        <w:jc w:val="both"/>
        <w:rPr>
          <w:rFonts w:ascii="Calibri" w:hAnsi="Calibri"/>
          <w:b/>
        </w:rPr>
      </w:pPr>
      <w:r w:rsidRPr="00077265">
        <w:rPr>
          <w:rFonts w:ascii="Calibri" w:hAnsi="Calibri"/>
          <w:b/>
        </w:rPr>
        <w:t>UVOD</w:t>
      </w:r>
    </w:p>
    <w:p w14:paraId="798D2985" w14:textId="77777777" w:rsidR="00D34D9E" w:rsidRDefault="00D34D9E" w:rsidP="00B65B9E">
      <w:pPr>
        <w:spacing w:line="276" w:lineRule="auto"/>
        <w:jc w:val="both"/>
        <w:rPr>
          <w:rFonts w:ascii="Calibri" w:hAnsi="Calibri"/>
        </w:rPr>
      </w:pPr>
    </w:p>
    <w:p w14:paraId="377EC3C9" w14:textId="5769B61E" w:rsidR="00D34D9E" w:rsidRDefault="00D34D9E" w:rsidP="00B65B9E">
      <w:pPr>
        <w:spacing w:line="276" w:lineRule="auto"/>
        <w:jc w:val="both"/>
        <w:rPr>
          <w:rFonts w:asciiTheme="minorHAnsi" w:hAnsiTheme="minorHAnsi"/>
        </w:rPr>
      </w:pPr>
      <w:r w:rsidRPr="004A7B20">
        <w:rPr>
          <w:rFonts w:asciiTheme="minorHAnsi" w:hAnsiTheme="minorHAnsi"/>
        </w:rPr>
        <w:t xml:space="preserve">Sukladno </w:t>
      </w:r>
      <w:r w:rsidR="004A7B20" w:rsidRPr="004A7B20">
        <w:rPr>
          <w:rFonts w:asciiTheme="minorHAnsi" w:hAnsiTheme="minorHAnsi"/>
        </w:rPr>
        <w:t xml:space="preserve">Pravilniku o financijskom izvještavanju u </w:t>
      </w:r>
      <w:r w:rsidR="00823E64">
        <w:rPr>
          <w:rFonts w:asciiTheme="minorHAnsi" w:hAnsiTheme="minorHAnsi"/>
        </w:rPr>
        <w:t>proračunskom računovodstvu</w:t>
      </w:r>
      <w:r w:rsidRPr="004A7B20">
        <w:rPr>
          <w:rFonts w:asciiTheme="minorHAnsi" w:hAnsiTheme="minorHAnsi"/>
        </w:rPr>
        <w:t>, Bilješ</w:t>
      </w:r>
      <w:r w:rsidR="004A7B20">
        <w:rPr>
          <w:rFonts w:asciiTheme="minorHAnsi" w:hAnsiTheme="minorHAnsi"/>
        </w:rPr>
        <w:t>ke</w:t>
      </w:r>
      <w:r w:rsidR="00282CD3">
        <w:rPr>
          <w:rFonts w:asciiTheme="minorHAnsi" w:hAnsiTheme="minorHAnsi"/>
        </w:rPr>
        <w:t xml:space="preserve"> su dopuna podataka</w:t>
      </w:r>
      <w:r w:rsidR="004A7B20">
        <w:rPr>
          <w:rFonts w:asciiTheme="minorHAnsi" w:hAnsiTheme="minorHAnsi"/>
        </w:rPr>
        <w:t xml:space="preserve"> uz financijske izvještaje</w:t>
      </w:r>
      <w:r w:rsidR="00282CD3">
        <w:rPr>
          <w:rFonts w:asciiTheme="minorHAnsi" w:hAnsiTheme="minorHAnsi"/>
        </w:rPr>
        <w:t>. M</w:t>
      </w:r>
      <w:r w:rsidR="00282CD3" w:rsidRPr="00282CD3">
        <w:rPr>
          <w:rFonts w:asciiTheme="minorHAnsi" w:hAnsiTheme="minorHAnsi"/>
        </w:rPr>
        <w:t>ogu biti opisne, brojčane ili kombinirane. Označavaju se rednim brojevima s vezom na pojedinu poziciju iz financijskog izvještaja na koju se odnose.</w:t>
      </w:r>
      <w:r w:rsidR="004A7B20">
        <w:rPr>
          <w:rFonts w:asciiTheme="minorHAnsi" w:hAnsiTheme="minorHAnsi"/>
        </w:rPr>
        <w:t xml:space="preserve"> </w:t>
      </w:r>
    </w:p>
    <w:p w14:paraId="1529C239" w14:textId="77777777" w:rsidR="00B64C5A" w:rsidRDefault="00B64C5A" w:rsidP="00B65B9E">
      <w:pPr>
        <w:spacing w:line="276" w:lineRule="auto"/>
        <w:jc w:val="both"/>
        <w:rPr>
          <w:rFonts w:asciiTheme="minorHAnsi" w:hAnsiTheme="minorHAnsi"/>
        </w:rPr>
      </w:pPr>
    </w:p>
    <w:p w14:paraId="7E0CD421" w14:textId="65127843" w:rsidR="00B64C5A" w:rsidRPr="004A7B20" w:rsidRDefault="00B64C5A" w:rsidP="00B65B9E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Financijsk</w:t>
      </w:r>
      <w:r w:rsidR="00943F0A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izvješ</w:t>
      </w:r>
      <w:r w:rsidR="00943F0A">
        <w:rPr>
          <w:rFonts w:asciiTheme="minorHAnsi" w:hAnsiTheme="minorHAnsi"/>
        </w:rPr>
        <w:t>taji</w:t>
      </w:r>
      <w:r>
        <w:rPr>
          <w:rFonts w:asciiTheme="minorHAnsi" w:hAnsiTheme="minorHAnsi"/>
        </w:rPr>
        <w:t xml:space="preserve"> Razvojne agencije VTA za </w:t>
      </w:r>
      <w:r w:rsidR="008220B2">
        <w:rPr>
          <w:rFonts w:asciiTheme="minorHAnsi" w:hAnsiTheme="minorHAnsi"/>
        </w:rPr>
        <w:t>razdoblje 01.</w:t>
      </w:r>
      <w:r w:rsidR="00673148">
        <w:rPr>
          <w:rFonts w:asciiTheme="minorHAnsi" w:hAnsiTheme="minorHAnsi"/>
        </w:rPr>
        <w:t>01.</w:t>
      </w:r>
      <w:r w:rsidR="00CA7B7D">
        <w:rPr>
          <w:rFonts w:asciiTheme="minorHAnsi" w:hAnsiTheme="minorHAnsi"/>
        </w:rPr>
        <w:t>2024</w:t>
      </w:r>
      <w:r w:rsidR="00673148">
        <w:rPr>
          <w:rFonts w:asciiTheme="minorHAnsi" w:hAnsiTheme="minorHAnsi"/>
        </w:rPr>
        <w:t xml:space="preserve">. do </w:t>
      </w:r>
      <w:r w:rsidR="00C349A2">
        <w:rPr>
          <w:rFonts w:asciiTheme="minorHAnsi" w:hAnsiTheme="minorHAnsi"/>
        </w:rPr>
        <w:t>31.12.</w:t>
      </w:r>
      <w:r w:rsidR="00CA7B7D">
        <w:rPr>
          <w:rFonts w:asciiTheme="minorHAnsi" w:hAnsiTheme="minorHAnsi"/>
        </w:rPr>
        <w:t>2024</w:t>
      </w:r>
      <w:r w:rsidR="00C349A2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godine izrađena su sukladno </w:t>
      </w:r>
      <w:r w:rsidR="0098307B">
        <w:rPr>
          <w:rFonts w:asciiTheme="minorHAnsi" w:hAnsiTheme="minorHAnsi"/>
        </w:rPr>
        <w:t xml:space="preserve">navedenom </w:t>
      </w:r>
      <w:r>
        <w:rPr>
          <w:rFonts w:asciiTheme="minorHAnsi" w:hAnsiTheme="minorHAnsi"/>
        </w:rPr>
        <w:t xml:space="preserve">Pravilniku, sukladno Zakonu o </w:t>
      </w:r>
      <w:r w:rsidR="00823E64">
        <w:rPr>
          <w:rFonts w:asciiTheme="minorHAnsi" w:hAnsiTheme="minorHAnsi"/>
        </w:rPr>
        <w:t>proračunu</w:t>
      </w:r>
      <w:r>
        <w:rPr>
          <w:rFonts w:asciiTheme="minorHAnsi" w:hAnsiTheme="minorHAnsi"/>
        </w:rPr>
        <w:t xml:space="preserve"> te ostalim zakonima Republike Hrvatske.</w:t>
      </w:r>
    </w:p>
    <w:p w14:paraId="3D29E978" w14:textId="77777777" w:rsidR="00B65B9E" w:rsidRDefault="00B65B9E" w:rsidP="00B65B9E">
      <w:pPr>
        <w:spacing w:line="276" w:lineRule="auto"/>
        <w:jc w:val="both"/>
        <w:rPr>
          <w:rFonts w:asciiTheme="minorHAnsi" w:hAnsiTheme="minorHAnsi"/>
        </w:rPr>
      </w:pPr>
    </w:p>
    <w:p w14:paraId="377F5F2D" w14:textId="77777777" w:rsidR="00095FC9" w:rsidRDefault="00095FC9" w:rsidP="00B65B9E">
      <w:pPr>
        <w:spacing w:line="276" w:lineRule="auto"/>
        <w:jc w:val="both"/>
        <w:rPr>
          <w:rFonts w:asciiTheme="minorHAnsi" w:hAnsiTheme="minorHAnsi"/>
        </w:rPr>
      </w:pPr>
    </w:p>
    <w:p w14:paraId="43D18EA8" w14:textId="726C0540" w:rsidR="00095FC9" w:rsidRPr="00184701" w:rsidRDefault="00CA7B7D" w:rsidP="00B65B9E">
      <w:pPr>
        <w:spacing w:line="276" w:lineRule="auto"/>
        <w:jc w:val="both"/>
        <w:rPr>
          <w:rFonts w:asciiTheme="minorHAnsi" w:hAnsiTheme="minorHAnsi"/>
        </w:rPr>
      </w:pPr>
      <w:r w:rsidRPr="00184701">
        <w:rPr>
          <w:rFonts w:asciiTheme="minorHAnsi" w:hAnsiTheme="minorHAnsi"/>
          <w:b/>
          <w:bCs/>
        </w:rPr>
        <w:t>1. IZVJEŠTAJ O PRIHODIMA I RASHODIMA, PRIMICIMA I IZDACIMA</w:t>
      </w:r>
    </w:p>
    <w:p w14:paraId="0D360913" w14:textId="77777777" w:rsidR="00CA7B7D" w:rsidRDefault="00CA7B7D" w:rsidP="00B65B9E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61C8D39C" w14:textId="4B5FE2AC" w:rsidR="00CA7B7D" w:rsidRPr="00CA7B7D" w:rsidRDefault="00CA7B7D" w:rsidP="00CA7B7D">
      <w:pPr>
        <w:spacing w:line="276" w:lineRule="auto"/>
        <w:jc w:val="both"/>
        <w:rPr>
          <w:rFonts w:ascii="Calibri" w:hAnsi="Calibri"/>
        </w:rPr>
      </w:pPr>
      <w:r w:rsidRPr="00CA7B7D">
        <w:rPr>
          <w:rFonts w:ascii="Calibri" w:hAnsi="Calibri"/>
        </w:rPr>
        <w:t>Bilješka 1.</w:t>
      </w:r>
    </w:p>
    <w:p w14:paraId="706AFDFB" w14:textId="7E586891" w:rsidR="00CA7B7D" w:rsidRDefault="00CA7B7D" w:rsidP="00CA7B7D">
      <w:pPr>
        <w:spacing w:line="276" w:lineRule="auto"/>
        <w:jc w:val="both"/>
        <w:rPr>
          <w:rFonts w:ascii="Calibri" w:hAnsi="Calibri"/>
        </w:rPr>
      </w:pPr>
      <w:r w:rsidRPr="00CA7B7D">
        <w:rPr>
          <w:rFonts w:ascii="Calibri" w:hAnsi="Calibri"/>
        </w:rPr>
        <w:t>ŠIFRA 6331-6381</w:t>
      </w:r>
      <w:r>
        <w:rPr>
          <w:rFonts w:ascii="Calibri" w:hAnsi="Calibri"/>
          <w:b/>
          <w:bCs/>
          <w:i/>
          <w:iCs/>
        </w:rPr>
        <w:t xml:space="preserve"> </w:t>
      </w:r>
      <w:r w:rsidRPr="00CA7B7D">
        <w:rPr>
          <w:rFonts w:ascii="Calibri" w:hAnsi="Calibri"/>
        </w:rPr>
        <w:t xml:space="preserve">Pomoći iz inozemstva i od subjekata unutar općeg proračuna </w:t>
      </w:r>
      <w:r>
        <w:rPr>
          <w:rFonts w:ascii="Calibri" w:hAnsi="Calibri"/>
        </w:rPr>
        <w:t xml:space="preserve">ostvareni su u </w:t>
      </w:r>
      <w:r>
        <w:rPr>
          <w:rFonts w:ascii="Calibri" w:hAnsi="Calibri"/>
        </w:rPr>
        <w:t>izvještajnom razdoblju prethodne godine u iznosu od 2.855,97 eura</w:t>
      </w:r>
      <w:r w:rsidR="006E4C40">
        <w:rPr>
          <w:rFonts w:ascii="Calibri" w:hAnsi="Calibri"/>
        </w:rPr>
        <w:t xml:space="preserve">, no u promatranom razdoblju iznos je 0,00. </w:t>
      </w:r>
      <w:r>
        <w:rPr>
          <w:rFonts w:ascii="Calibri" w:hAnsi="Calibri"/>
        </w:rPr>
        <w:t xml:space="preserve"> </w:t>
      </w:r>
      <w:r w:rsidR="000961F8">
        <w:rPr>
          <w:rFonts w:ascii="Calibri" w:hAnsi="Calibri"/>
        </w:rPr>
        <w:t>Iznos od 2.855,97 eura u odnosi</w:t>
      </w:r>
      <w:r w:rsidR="000961F8">
        <w:rPr>
          <w:rFonts w:ascii="Calibri" w:hAnsi="Calibri"/>
        </w:rPr>
        <w:t>o</w:t>
      </w:r>
      <w:r w:rsidR="000961F8">
        <w:rPr>
          <w:rFonts w:ascii="Calibri" w:hAnsi="Calibri"/>
        </w:rPr>
        <w:t xml:space="preserve"> se na projekt pomoćnika u nastavi, tzv. „Korak u život jednakih mogućnosti – faza V“, u kojem je Agencija bila projektni partner, a koji je završio u srpnju 2024. godine.</w:t>
      </w:r>
    </w:p>
    <w:p w14:paraId="2ACE6011" w14:textId="77777777" w:rsidR="000961F8" w:rsidRPr="004F5CBA" w:rsidRDefault="000961F8" w:rsidP="00CA7B7D">
      <w:pPr>
        <w:spacing w:line="276" w:lineRule="auto"/>
        <w:jc w:val="both"/>
        <w:rPr>
          <w:rFonts w:ascii="Calibri" w:hAnsi="Calibri"/>
        </w:rPr>
      </w:pPr>
    </w:p>
    <w:p w14:paraId="3C68AF2D" w14:textId="11D2EDB5" w:rsidR="000961F8" w:rsidRPr="00CA7B7D" w:rsidRDefault="000961F8" w:rsidP="000961F8">
      <w:pPr>
        <w:spacing w:line="276" w:lineRule="auto"/>
        <w:jc w:val="both"/>
        <w:rPr>
          <w:rFonts w:ascii="Calibri" w:hAnsi="Calibri"/>
        </w:rPr>
      </w:pPr>
      <w:r w:rsidRPr="00CA7B7D">
        <w:rPr>
          <w:rFonts w:ascii="Calibri" w:hAnsi="Calibri"/>
        </w:rPr>
        <w:lastRenderedPageBreak/>
        <w:t xml:space="preserve">Bilješka </w:t>
      </w:r>
      <w:r>
        <w:rPr>
          <w:rFonts w:ascii="Calibri" w:hAnsi="Calibri"/>
        </w:rPr>
        <w:t>2</w:t>
      </w:r>
      <w:r w:rsidRPr="00CA7B7D">
        <w:rPr>
          <w:rFonts w:ascii="Calibri" w:hAnsi="Calibri"/>
        </w:rPr>
        <w:t>.</w:t>
      </w:r>
    </w:p>
    <w:p w14:paraId="19699242" w14:textId="35843BC7" w:rsidR="00305D7D" w:rsidRDefault="000961F8" w:rsidP="00305D7D">
      <w:pPr>
        <w:spacing w:line="276" w:lineRule="auto"/>
        <w:jc w:val="both"/>
        <w:rPr>
          <w:rFonts w:ascii="Calibri" w:hAnsi="Calibri"/>
        </w:rPr>
      </w:pPr>
      <w:r w:rsidRPr="00CA7B7D">
        <w:rPr>
          <w:rFonts w:ascii="Calibri" w:hAnsi="Calibri"/>
        </w:rPr>
        <w:t>ŠIFRA 6</w:t>
      </w:r>
      <w:r>
        <w:rPr>
          <w:rFonts w:ascii="Calibri" w:hAnsi="Calibri"/>
        </w:rPr>
        <w:t>615 Prihodi od pruženih usluga</w:t>
      </w:r>
      <w:r w:rsidR="00305D7D">
        <w:rPr>
          <w:rFonts w:ascii="Calibri" w:hAnsi="Calibri"/>
        </w:rPr>
        <w:t xml:space="preserve"> </w:t>
      </w:r>
      <w:r w:rsidR="00305D7D">
        <w:rPr>
          <w:rFonts w:ascii="Calibri" w:hAnsi="Calibri"/>
        </w:rPr>
        <w:t xml:space="preserve">iznose </w:t>
      </w:r>
      <w:r w:rsidR="00305D7D">
        <w:rPr>
          <w:rFonts w:ascii="Calibri" w:hAnsi="Calibri"/>
        </w:rPr>
        <w:t>5.882,95</w:t>
      </w:r>
      <w:r w:rsidR="00305D7D">
        <w:rPr>
          <w:rFonts w:ascii="Calibri" w:hAnsi="Calibri"/>
        </w:rPr>
        <w:t xml:space="preserve"> eura i </w:t>
      </w:r>
      <w:r w:rsidR="00305D7D" w:rsidRPr="0079583C">
        <w:rPr>
          <w:rFonts w:ascii="Calibri" w:hAnsi="Calibri"/>
        </w:rPr>
        <w:t>smanj</w:t>
      </w:r>
      <w:r w:rsidR="00305D7D">
        <w:rPr>
          <w:rFonts w:ascii="Calibri" w:hAnsi="Calibri"/>
        </w:rPr>
        <w:t>eni</w:t>
      </w:r>
      <w:r w:rsidR="00305D7D" w:rsidRPr="0079583C">
        <w:rPr>
          <w:rFonts w:ascii="Calibri" w:hAnsi="Calibri"/>
        </w:rPr>
        <w:t xml:space="preserve"> su za</w:t>
      </w:r>
      <w:r w:rsidR="00305D7D">
        <w:rPr>
          <w:rFonts w:ascii="Calibri" w:hAnsi="Calibri"/>
        </w:rPr>
        <w:t xml:space="preserve"> </w:t>
      </w:r>
      <w:r w:rsidR="00305D7D">
        <w:rPr>
          <w:rFonts w:ascii="Calibri" w:hAnsi="Calibri"/>
        </w:rPr>
        <w:t>37</w:t>
      </w:r>
      <w:r w:rsidR="00305D7D">
        <w:rPr>
          <w:rFonts w:ascii="Calibri" w:hAnsi="Calibri"/>
        </w:rPr>
        <w:t>,6%</w:t>
      </w:r>
      <w:r w:rsidR="00305D7D">
        <w:rPr>
          <w:rFonts w:ascii="Calibri" w:hAnsi="Calibri"/>
        </w:rPr>
        <w:t xml:space="preserve"> u odnosu na prethodno razdoblje</w:t>
      </w:r>
      <w:r w:rsidR="00305D7D" w:rsidRPr="0079583C">
        <w:rPr>
          <w:rFonts w:ascii="Calibri" w:hAnsi="Calibri"/>
        </w:rPr>
        <w:t xml:space="preserve">, </w:t>
      </w:r>
      <w:r w:rsidR="00305D7D">
        <w:rPr>
          <w:rFonts w:ascii="Calibri" w:hAnsi="Calibri"/>
        </w:rPr>
        <w:t>a odnose se na pružanje konzultantskih usluga na tržištu. Smanjili su se s</w:t>
      </w:r>
      <w:r w:rsidR="00305D7D" w:rsidRPr="0079583C">
        <w:rPr>
          <w:rFonts w:ascii="Calibri" w:hAnsi="Calibri"/>
        </w:rPr>
        <w:t xml:space="preserve"> obzirom na smanjen broj tržišnih projekat</w:t>
      </w:r>
      <w:r w:rsidR="00305D7D">
        <w:rPr>
          <w:rFonts w:ascii="Calibri" w:hAnsi="Calibri"/>
        </w:rPr>
        <w:t>a, sukladno objavljenim pozivima. Uz to,</w:t>
      </w:r>
      <w:r w:rsidR="00305D7D" w:rsidRPr="0079583C">
        <w:rPr>
          <w:rFonts w:ascii="Calibri" w:hAnsi="Calibri"/>
        </w:rPr>
        <w:t xml:space="preserve"> rad Agencije se povećano usmjerio na projekte svog osnivača i </w:t>
      </w:r>
      <w:r w:rsidR="00305D7D">
        <w:rPr>
          <w:rFonts w:ascii="Calibri" w:hAnsi="Calibri"/>
        </w:rPr>
        <w:t>ostalih proračunskih korisnika, kako i zahtijevaju objavljeni natječaji</w:t>
      </w:r>
      <w:r w:rsidR="00305D7D" w:rsidRPr="0079583C">
        <w:rPr>
          <w:rFonts w:ascii="Calibri" w:hAnsi="Calibri"/>
        </w:rPr>
        <w:t xml:space="preserve">. U izvještajnom razdoblju </w:t>
      </w:r>
      <w:r w:rsidR="00305D7D">
        <w:rPr>
          <w:rFonts w:ascii="Calibri" w:hAnsi="Calibri"/>
        </w:rPr>
        <w:t>prethodne</w:t>
      </w:r>
      <w:r w:rsidR="00305D7D" w:rsidRPr="0079583C">
        <w:rPr>
          <w:rFonts w:ascii="Calibri" w:hAnsi="Calibri"/>
        </w:rPr>
        <w:t xml:space="preserve"> godine Prihodi od pruženih usluga iznosili su </w:t>
      </w:r>
      <w:r w:rsidR="00305D7D">
        <w:rPr>
          <w:rFonts w:ascii="Calibri" w:hAnsi="Calibri"/>
        </w:rPr>
        <w:t>9.426,01</w:t>
      </w:r>
      <w:r w:rsidR="00305D7D">
        <w:rPr>
          <w:rFonts w:ascii="Calibri" w:hAnsi="Calibri"/>
        </w:rPr>
        <w:t xml:space="preserve"> eura.</w:t>
      </w:r>
    </w:p>
    <w:p w14:paraId="0B416063" w14:textId="021CAC8C" w:rsidR="000961F8" w:rsidRDefault="000961F8" w:rsidP="000961F8">
      <w:pPr>
        <w:spacing w:line="276" w:lineRule="auto"/>
        <w:jc w:val="both"/>
        <w:rPr>
          <w:rFonts w:ascii="Calibri" w:hAnsi="Calibri"/>
        </w:rPr>
      </w:pPr>
    </w:p>
    <w:p w14:paraId="436D4785" w14:textId="16867C6E" w:rsidR="00F140B0" w:rsidRPr="00CA7B7D" w:rsidRDefault="00F140B0" w:rsidP="00F140B0">
      <w:pPr>
        <w:spacing w:line="276" w:lineRule="auto"/>
        <w:jc w:val="both"/>
        <w:rPr>
          <w:rFonts w:ascii="Calibri" w:hAnsi="Calibri"/>
        </w:rPr>
      </w:pPr>
      <w:r w:rsidRPr="00CA7B7D">
        <w:rPr>
          <w:rFonts w:ascii="Calibri" w:hAnsi="Calibri"/>
        </w:rPr>
        <w:t xml:space="preserve">Bilješka </w:t>
      </w:r>
      <w:r>
        <w:rPr>
          <w:rFonts w:ascii="Calibri" w:hAnsi="Calibri"/>
        </w:rPr>
        <w:t>3</w:t>
      </w:r>
      <w:r w:rsidRPr="00CA7B7D">
        <w:rPr>
          <w:rFonts w:ascii="Calibri" w:hAnsi="Calibri"/>
        </w:rPr>
        <w:t>.</w:t>
      </w:r>
    </w:p>
    <w:p w14:paraId="44B683A0" w14:textId="45628AB9" w:rsidR="00F140B0" w:rsidRPr="00C6763A" w:rsidRDefault="00F140B0" w:rsidP="00F140B0">
      <w:pPr>
        <w:spacing w:line="276" w:lineRule="auto"/>
        <w:jc w:val="both"/>
        <w:rPr>
          <w:rFonts w:ascii="Calibri" w:hAnsi="Calibri"/>
        </w:rPr>
      </w:pPr>
      <w:r w:rsidRPr="00CA7B7D">
        <w:rPr>
          <w:rFonts w:ascii="Calibri" w:hAnsi="Calibri"/>
        </w:rPr>
        <w:t>ŠIFRA 6</w:t>
      </w:r>
      <w:r>
        <w:rPr>
          <w:rFonts w:ascii="Calibri" w:hAnsi="Calibri"/>
        </w:rPr>
        <w:t>711</w:t>
      </w:r>
      <w:r>
        <w:rPr>
          <w:rFonts w:ascii="Calibri" w:hAnsi="Calibri"/>
        </w:rPr>
        <w:t xml:space="preserve"> </w:t>
      </w:r>
      <w:r w:rsidRPr="00F140B0">
        <w:rPr>
          <w:rFonts w:ascii="Calibri" w:hAnsi="Calibri"/>
        </w:rPr>
        <w:t xml:space="preserve">Prihodi iz nadležnog proračuna </w:t>
      </w:r>
      <w:r>
        <w:rPr>
          <w:rFonts w:ascii="Calibri" w:hAnsi="Calibri"/>
        </w:rPr>
        <w:t>za financiranje rashoda poslovanja</w:t>
      </w:r>
      <w:r w:rsidRPr="00F140B0">
        <w:rPr>
          <w:rFonts w:ascii="Calibri" w:hAnsi="Calibri"/>
        </w:rPr>
        <w:t xml:space="preserve"> iznose</w:t>
      </w:r>
      <w:r w:rsidRPr="00052204">
        <w:rPr>
          <w:rFonts w:ascii="Calibri" w:hAnsi="Calibri"/>
        </w:rPr>
        <w:t xml:space="preserve"> </w:t>
      </w:r>
      <w:r>
        <w:rPr>
          <w:rFonts w:ascii="Calibri" w:hAnsi="Calibri"/>
        </w:rPr>
        <w:t>672.642,51</w:t>
      </w:r>
      <w:r>
        <w:rPr>
          <w:rFonts w:ascii="Calibri" w:hAnsi="Calibri"/>
        </w:rPr>
        <w:t xml:space="preserve"> eura, što je za </w:t>
      </w:r>
      <w:r>
        <w:rPr>
          <w:rFonts w:ascii="Calibri" w:hAnsi="Calibri"/>
        </w:rPr>
        <w:t>47</w:t>
      </w:r>
      <w:r>
        <w:rPr>
          <w:rFonts w:ascii="Calibri" w:hAnsi="Calibri"/>
        </w:rPr>
        <w:t>,3% više u odnosu na prethodnu godinu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a njihovo povećanje rezultat je povećanih rashoda poslovanja i smanjenih prihoda od pruženih usluga. </w:t>
      </w:r>
      <w:r w:rsidRPr="0079583C">
        <w:rPr>
          <w:rFonts w:ascii="Calibri" w:hAnsi="Calibri"/>
        </w:rPr>
        <w:t xml:space="preserve">U izvještajnom razdoblju </w:t>
      </w:r>
      <w:r>
        <w:rPr>
          <w:rFonts w:ascii="Calibri" w:hAnsi="Calibri"/>
        </w:rPr>
        <w:t>prethodne</w:t>
      </w:r>
      <w:r w:rsidRPr="0079583C">
        <w:rPr>
          <w:rFonts w:ascii="Calibri" w:hAnsi="Calibri"/>
        </w:rPr>
        <w:t xml:space="preserve"> godine</w:t>
      </w:r>
      <w:r>
        <w:rPr>
          <w:rFonts w:ascii="Calibri" w:hAnsi="Calibri"/>
        </w:rPr>
        <w:t xml:space="preserve"> iznosili su </w:t>
      </w:r>
      <w:r w:rsidRPr="00052204">
        <w:rPr>
          <w:rFonts w:ascii="Calibri" w:hAnsi="Calibri"/>
        </w:rPr>
        <w:t>456.672,49</w:t>
      </w:r>
      <w:r>
        <w:rPr>
          <w:rFonts w:ascii="Calibri" w:hAnsi="Calibri"/>
        </w:rPr>
        <w:t xml:space="preserve"> eura.</w:t>
      </w:r>
    </w:p>
    <w:p w14:paraId="7C927675" w14:textId="77777777" w:rsidR="00F140B0" w:rsidRDefault="00F140B0" w:rsidP="00F140B0">
      <w:pPr>
        <w:spacing w:line="276" w:lineRule="auto"/>
        <w:jc w:val="both"/>
        <w:rPr>
          <w:rFonts w:ascii="Calibri" w:hAnsi="Calibri"/>
        </w:rPr>
      </w:pPr>
    </w:p>
    <w:p w14:paraId="393C409F" w14:textId="0A5F9E3B" w:rsidR="00AB67AF" w:rsidRPr="00CA7B7D" w:rsidRDefault="00AB67AF" w:rsidP="00AB67AF">
      <w:pPr>
        <w:spacing w:line="276" w:lineRule="auto"/>
        <w:jc w:val="both"/>
        <w:rPr>
          <w:rFonts w:ascii="Calibri" w:hAnsi="Calibri"/>
        </w:rPr>
      </w:pPr>
      <w:r w:rsidRPr="00CA7B7D">
        <w:rPr>
          <w:rFonts w:ascii="Calibri" w:hAnsi="Calibri"/>
        </w:rPr>
        <w:t xml:space="preserve">Bilješka </w:t>
      </w:r>
      <w:r>
        <w:rPr>
          <w:rFonts w:ascii="Calibri" w:hAnsi="Calibri"/>
        </w:rPr>
        <w:t>4</w:t>
      </w:r>
      <w:r w:rsidRPr="00CA7B7D">
        <w:rPr>
          <w:rFonts w:ascii="Calibri" w:hAnsi="Calibri"/>
        </w:rPr>
        <w:t>.</w:t>
      </w:r>
    </w:p>
    <w:p w14:paraId="4B7FF4D4" w14:textId="4FCE2406" w:rsidR="00CA7B7D" w:rsidRDefault="00AB67AF" w:rsidP="00CA7B7D">
      <w:pPr>
        <w:spacing w:line="276" w:lineRule="auto"/>
        <w:jc w:val="both"/>
        <w:rPr>
          <w:rFonts w:ascii="Calibri" w:hAnsi="Calibri"/>
        </w:rPr>
      </w:pPr>
      <w:r w:rsidRPr="00CA7B7D">
        <w:rPr>
          <w:rFonts w:ascii="Calibri" w:hAnsi="Calibri"/>
        </w:rPr>
        <w:t xml:space="preserve">ŠIFRA </w:t>
      </w:r>
      <w:r w:rsidR="00B775BA">
        <w:rPr>
          <w:rFonts w:ascii="Calibri" w:hAnsi="Calibri"/>
        </w:rPr>
        <w:t>3</w:t>
      </w:r>
      <w:r w:rsidR="00B775BA" w:rsidRPr="00B775BA">
        <w:rPr>
          <w:rFonts w:ascii="Calibri" w:hAnsi="Calibri"/>
          <w:b/>
          <w:bCs/>
        </w:rPr>
        <w:t xml:space="preserve"> </w:t>
      </w:r>
      <w:r w:rsidR="00B775BA" w:rsidRPr="00B775BA">
        <w:rPr>
          <w:rFonts w:ascii="Calibri" w:hAnsi="Calibri"/>
        </w:rPr>
        <w:t>Rashodi poslovanja</w:t>
      </w:r>
      <w:r w:rsidR="00CA7B7D" w:rsidRPr="007B7774">
        <w:rPr>
          <w:rFonts w:ascii="Calibri" w:hAnsi="Calibri"/>
        </w:rPr>
        <w:t xml:space="preserve"> </w:t>
      </w:r>
      <w:r w:rsidR="00CA7B7D">
        <w:rPr>
          <w:rFonts w:ascii="Calibri" w:hAnsi="Calibri"/>
        </w:rPr>
        <w:t xml:space="preserve">ostvareni </w:t>
      </w:r>
      <w:r w:rsidR="00CA7B7D" w:rsidRPr="007B7774">
        <w:rPr>
          <w:rFonts w:ascii="Calibri" w:hAnsi="Calibri"/>
        </w:rPr>
        <w:t>su</w:t>
      </w:r>
      <w:r w:rsidR="00CA7B7D">
        <w:rPr>
          <w:rFonts w:ascii="Calibri" w:hAnsi="Calibri"/>
        </w:rPr>
        <w:t xml:space="preserve"> u iznosu od</w:t>
      </w:r>
      <w:r w:rsidR="00CA7B7D" w:rsidRPr="007B7774">
        <w:rPr>
          <w:rFonts w:ascii="Calibri" w:hAnsi="Calibri"/>
        </w:rPr>
        <w:t xml:space="preserve"> </w:t>
      </w:r>
      <w:r w:rsidR="00B775BA">
        <w:rPr>
          <w:rFonts w:ascii="Calibri" w:hAnsi="Calibri"/>
        </w:rPr>
        <w:t>672.642,51</w:t>
      </w:r>
      <w:r w:rsidR="00CA7B7D">
        <w:rPr>
          <w:rFonts w:ascii="Calibri" w:hAnsi="Calibri"/>
        </w:rPr>
        <w:t xml:space="preserve"> eura</w:t>
      </w:r>
      <w:r w:rsidR="00CA7B7D" w:rsidRPr="007B7774">
        <w:rPr>
          <w:rFonts w:ascii="Calibri" w:hAnsi="Calibri"/>
        </w:rPr>
        <w:t xml:space="preserve">, što je </w:t>
      </w:r>
      <w:r w:rsidR="00CA7B7D">
        <w:rPr>
          <w:rFonts w:ascii="Calibri" w:hAnsi="Calibri"/>
        </w:rPr>
        <w:t xml:space="preserve">povećanje od </w:t>
      </w:r>
      <w:r w:rsidR="00B775BA">
        <w:rPr>
          <w:rFonts w:ascii="Calibri" w:hAnsi="Calibri"/>
        </w:rPr>
        <w:t>44,4</w:t>
      </w:r>
      <w:r w:rsidR="00CA7B7D">
        <w:rPr>
          <w:rFonts w:ascii="Calibri" w:hAnsi="Calibri"/>
        </w:rPr>
        <w:t>% u odnosu na prethodno izvještajno razdoblje</w:t>
      </w:r>
      <w:r w:rsidR="00491664">
        <w:rPr>
          <w:rFonts w:ascii="Calibri" w:hAnsi="Calibri"/>
        </w:rPr>
        <w:t>.</w:t>
      </w:r>
    </w:p>
    <w:p w14:paraId="06E04BA0" w14:textId="77777777" w:rsidR="00CA7B7D" w:rsidRDefault="00CA7B7D" w:rsidP="00CA7B7D">
      <w:pPr>
        <w:spacing w:line="276" w:lineRule="auto"/>
        <w:jc w:val="both"/>
        <w:rPr>
          <w:rFonts w:ascii="Calibri" w:hAnsi="Calibri"/>
        </w:rPr>
      </w:pPr>
    </w:p>
    <w:p w14:paraId="655C1F0C" w14:textId="3038DD1F" w:rsidR="00491664" w:rsidRPr="00CA7B7D" w:rsidRDefault="00491664" w:rsidP="00491664">
      <w:pPr>
        <w:spacing w:line="276" w:lineRule="auto"/>
        <w:jc w:val="both"/>
        <w:rPr>
          <w:rFonts w:ascii="Calibri" w:hAnsi="Calibri"/>
        </w:rPr>
      </w:pPr>
      <w:r w:rsidRPr="00CA7B7D">
        <w:rPr>
          <w:rFonts w:ascii="Calibri" w:hAnsi="Calibri"/>
        </w:rPr>
        <w:t xml:space="preserve">Bilješka </w:t>
      </w:r>
      <w:r>
        <w:rPr>
          <w:rFonts w:ascii="Calibri" w:hAnsi="Calibri"/>
        </w:rPr>
        <w:t>5</w:t>
      </w:r>
      <w:r w:rsidRPr="00CA7B7D">
        <w:rPr>
          <w:rFonts w:ascii="Calibri" w:hAnsi="Calibri"/>
        </w:rPr>
        <w:t>.</w:t>
      </w:r>
    </w:p>
    <w:p w14:paraId="5B856F4F" w14:textId="7A3F4808" w:rsidR="00491664" w:rsidRDefault="00491664" w:rsidP="00CA7B7D">
      <w:pPr>
        <w:spacing w:line="276" w:lineRule="auto"/>
        <w:jc w:val="both"/>
        <w:rPr>
          <w:rFonts w:ascii="Calibri" w:hAnsi="Calibri"/>
        </w:rPr>
      </w:pPr>
      <w:r w:rsidRPr="00CA7B7D">
        <w:rPr>
          <w:rFonts w:ascii="Calibri" w:hAnsi="Calibri"/>
        </w:rPr>
        <w:t xml:space="preserve">ŠIFRA </w:t>
      </w:r>
      <w:r>
        <w:rPr>
          <w:rFonts w:ascii="Calibri" w:hAnsi="Calibri"/>
        </w:rPr>
        <w:t>3</w:t>
      </w:r>
      <w:r>
        <w:rPr>
          <w:rFonts w:ascii="Calibri" w:hAnsi="Calibri"/>
        </w:rPr>
        <w:t xml:space="preserve">111 Plaće za redovan rad povećavaju se za 57% u odnosu na promatrano razdoblje prethodne godine. </w:t>
      </w:r>
      <w:r w:rsidRPr="00F20A83">
        <w:rPr>
          <w:rFonts w:ascii="Calibri" w:hAnsi="Calibri" w:cs="Calibri"/>
        </w:rPr>
        <w:t>Razlog povećanja</w:t>
      </w:r>
      <w:r>
        <w:rPr>
          <w:rFonts w:ascii="Calibri" w:hAnsi="Calibri" w:cs="Calibri"/>
        </w:rPr>
        <w:t xml:space="preserve"> </w:t>
      </w:r>
      <w:r w:rsidRPr="00F20A83">
        <w:rPr>
          <w:rFonts w:ascii="Calibri" w:hAnsi="Calibri" w:cs="Calibri"/>
        </w:rPr>
        <w:t>je izmjena Pravilnika o unutarnjem ustrojstvu kojim su od siječnja 2024. godine plaće zaposlenika Agencije usklađene s plaćama službenika osnivača.</w:t>
      </w:r>
      <w:r w:rsidR="00CA2CFC">
        <w:rPr>
          <w:rFonts w:ascii="Calibri" w:hAnsi="Calibri" w:cs="Calibri"/>
        </w:rPr>
        <w:t xml:space="preserve"> Također, tijekom 2024. godine u Agenciji je zaposlen novi djelatnik na radno mjesto Suradnik za lokalni razvoj</w:t>
      </w:r>
      <w:r w:rsidR="00232E76">
        <w:rPr>
          <w:rFonts w:ascii="Calibri" w:hAnsi="Calibri" w:cs="Calibri"/>
        </w:rPr>
        <w:t>, a tri djelatnice su se vratile s roditeljskih dopusta, dok su ga dvije počele koristiti.</w:t>
      </w:r>
      <w:r>
        <w:rPr>
          <w:rFonts w:ascii="Calibri" w:hAnsi="Calibri" w:cs="Calibri"/>
        </w:rPr>
        <w:t xml:space="preserve"> </w:t>
      </w:r>
    </w:p>
    <w:p w14:paraId="50B36EAA" w14:textId="77777777" w:rsidR="00CA7B7D" w:rsidRPr="00CA2CFC" w:rsidRDefault="00CA7B7D" w:rsidP="00CA7B7D">
      <w:pPr>
        <w:spacing w:line="276" w:lineRule="auto"/>
        <w:jc w:val="both"/>
        <w:rPr>
          <w:rFonts w:ascii="Calibri" w:hAnsi="Calibri"/>
        </w:rPr>
      </w:pPr>
    </w:p>
    <w:p w14:paraId="733F9107" w14:textId="1DB43523" w:rsidR="00CA2CFC" w:rsidRPr="00CA7B7D" w:rsidRDefault="00CA2CFC" w:rsidP="00CA2CFC">
      <w:pPr>
        <w:spacing w:line="276" w:lineRule="auto"/>
        <w:jc w:val="both"/>
        <w:rPr>
          <w:rFonts w:ascii="Calibri" w:hAnsi="Calibri"/>
        </w:rPr>
      </w:pPr>
      <w:r w:rsidRPr="00CA7B7D">
        <w:rPr>
          <w:rFonts w:ascii="Calibri" w:hAnsi="Calibri"/>
        </w:rPr>
        <w:t xml:space="preserve">Bilješka </w:t>
      </w:r>
      <w:r>
        <w:rPr>
          <w:rFonts w:ascii="Calibri" w:hAnsi="Calibri"/>
        </w:rPr>
        <w:t>6</w:t>
      </w:r>
      <w:r w:rsidRPr="00CA7B7D">
        <w:rPr>
          <w:rFonts w:ascii="Calibri" w:hAnsi="Calibri"/>
        </w:rPr>
        <w:t>.</w:t>
      </w:r>
    </w:p>
    <w:p w14:paraId="0EA941CF" w14:textId="123D3C17" w:rsidR="00CA7B7D" w:rsidRDefault="00CA2CFC" w:rsidP="00CA7B7D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ŠIFRA</w:t>
      </w:r>
      <w:r w:rsidRPr="00CA2CFC">
        <w:rPr>
          <w:rFonts w:ascii="Calibri" w:hAnsi="Calibri"/>
        </w:rPr>
        <w:t xml:space="preserve"> 312</w:t>
      </w:r>
      <w:r>
        <w:rPr>
          <w:rFonts w:ascii="Calibri" w:hAnsi="Calibri"/>
        </w:rPr>
        <w:t xml:space="preserve"> </w:t>
      </w:r>
      <w:r w:rsidRPr="00CA2CFC">
        <w:rPr>
          <w:rFonts w:ascii="Calibri" w:hAnsi="Calibri"/>
        </w:rPr>
        <w:t>Ostali rashodi za zaposlene</w:t>
      </w:r>
      <w:r>
        <w:rPr>
          <w:rFonts w:ascii="Calibri" w:hAnsi="Calibri"/>
        </w:rPr>
        <w:t xml:space="preserve"> </w:t>
      </w:r>
      <w:r w:rsidR="00CA7B7D" w:rsidRPr="00CA2CFC">
        <w:rPr>
          <w:rFonts w:ascii="Calibri" w:hAnsi="Calibri"/>
        </w:rPr>
        <w:t xml:space="preserve">ostvareni su u iznosu od </w:t>
      </w:r>
      <w:r>
        <w:rPr>
          <w:rFonts w:ascii="Calibri" w:hAnsi="Calibri"/>
        </w:rPr>
        <w:t>54.711,72</w:t>
      </w:r>
      <w:r w:rsidR="00CA7B7D" w:rsidRPr="00CA2CFC">
        <w:rPr>
          <w:rFonts w:ascii="Calibri" w:hAnsi="Calibri"/>
        </w:rPr>
        <w:t xml:space="preserve"> eura, što je za </w:t>
      </w:r>
      <w:r>
        <w:rPr>
          <w:rFonts w:ascii="Calibri" w:hAnsi="Calibri"/>
        </w:rPr>
        <w:t>32,4</w:t>
      </w:r>
      <w:r w:rsidR="00CA7B7D" w:rsidRPr="00CA2CFC">
        <w:rPr>
          <w:rFonts w:ascii="Calibri" w:hAnsi="Calibri"/>
        </w:rPr>
        <w:t>% više u odnosu na izvještajno razdoblje prethodne godine, a odnose se na naknade, nagrade i regres. Razlog povećanja je isplata jubilarnih nagrada zaposlenicima te povećan iznos isp</w:t>
      </w:r>
      <w:r w:rsidR="00CA7B7D">
        <w:rPr>
          <w:rFonts w:ascii="Calibri" w:hAnsi="Calibri"/>
        </w:rPr>
        <w:t>laćenih neoporezivih naknada i nagrada tijekom 2024. godine.</w:t>
      </w:r>
    </w:p>
    <w:p w14:paraId="21558523" w14:textId="77777777" w:rsidR="00CA2CFC" w:rsidRDefault="00CA2CFC" w:rsidP="00CA7B7D">
      <w:pPr>
        <w:spacing w:line="276" w:lineRule="auto"/>
        <w:jc w:val="both"/>
        <w:rPr>
          <w:rFonts w:ascii="Calibri" w:hAnsi="Calibri"/>
        </w:rPr>
      </w:pPr>
    </w:p>
    <w:p w14:paraId="2A114478" w14:textId="58F13CEC" w:rsidR="00CA2CFC" w:rsidRDefault="00CA2CFC" w:rsidP="00CA7B7D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Bilješka 7.</w:t>
      </w:r>
    </w:p>
    <w:p w14:paraId="097AAA7F" w14:textId="77777777" w:rsidR="00232E76" w:rsidRDefault="00CA2CFC" w:rsidP="00CA2CF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ŠIFRA 3132 </w:t>
      </w:r>
      <w:r w:rsidRPr="00CA2CFC">
        <w:rPr>
          <w:rFonts w:ascii="Calibri" w:hAnsi="Calibri"/>
        </w:rPr>
        <w:t xml:space="preserve">Doprinosi za obvezno zdravstveno osiguranje povećavaju se za </w:t>
      </w:r>
      <w:r>
        <w:rPr>
          <w:rFonts w:ascii="Calibri" w:hAnsi="Calibri"/>
        </w:rPr>
        <w:t>59,1</w:t>
      </w:r>
      <w:r w:rsidRPr="00CA2CFC">
        <w:rPr>
          <w:rFonts w:ascii="Calibri" w:hAnsi="Calibri"/>
        </w:rPr>
        <w:t xml:space="preserve">% i iznose </w:t>
      </w:r>
      <w:r>
        <w:rPr>
          <w:rFonts w:ascii="Calibri" w:hAnsi="Calibri"/>
        </w:rPr>
        <w:t>66.108,67</w:t>
      </w:r>
      <w:r w:rsidRPr="00CA2CFC">
        <w:rPr>
          <w:rFonts w:ascii="Calibri" w:hAnsi="Calibri"/>
        </w:rPr>
        <w:t xml:space="preserve"> eura, a povećanje se</w:t>
      </w:r>
      <w:r>
        <w:rPr>
          <w:rFonts w:ascii="Calibri" w:hAnsi="Calibri"/>
        </w:rPr>
        <w:t xml:space="preserve"> dogodilo sukladno povećanim plaćama za redovan rad</w:t>
      </w:r>
      <w:r w:rsidR="00232E76">
        <w:rPr>
          <w:rFonts w:ascii="Calibri" w:hAnsi="Calibri"/>
        </w:rPr>
        <w:t>,</w:t>
      </w:r>
      <w:r>
        <w:rPr>
          <w:rFonts w:ascii="Calibri" w:hAnsi="Calibri"/>
        </w:rPr>
        <w:t xml:space="preserve"> zapošljavanju novog djelatnika</w:t>
      </w:r>
      <w:r w:rsidR="00232E76">
        <w:rPr>
          <w:rFonts w:ascii="Calibri" w:hAnsi="Calibri"/>
        </w:rPr>
        <w:t xml:space="preserve"> i povratku s roditeljskog dopusta</w:t>
      </w:r>
      <w:r>
        <w:rPr>
          <w:rFonts w:ascii="Calibri" w:hAnsi="Calibri"/>
        </w:rPr>
        <w:t>.</w:t>
      </w:r>
    </w:p>
    <w:p w14:paraId="01250E63" w14:textId="77777777" w:rsidR="00232E76" w:rsidRDefault="00232E76" w:rsidP="00CA2CFC">
      <w:pPr>
        <w:jc w:val="both"/>
        <w:rPr>
          <w:rFonts w:ascii="Calibri" w:hAnsi="Calibri"/>
        </w:rPr>
      </w:pPr>
    </w:p>
    <w:p w14:paraId="6069D8BE" w14:textId="77777777" w:rsidR="00232E76" w:rsidRDefault="00232E76" w:rsidP="00CA2CFC">
      <w:pPr>
        <w:jc w:val="both"/>
        <w:rPr>
          <w:rFonts w:ascii="Calibri" w:hAnsi="Calibri"/>
        </w:rPr>
      </w:pPr>
    </w:p>
    <w:p w14:paraId="1CFA7A6C" w14:textId="77777777" w:rsidR="00232E76" w:rsidRDefault="00232E76" w:rsidP="00CA2CFC">
      <w:pPr>
        <w:jc w:val="both"/>
        <w:rPr>
          <w:rFonts w:ascii="Calibri" w:hAnsi="Calibri"/>
        </w:rPr>
      </w:pPr>
    </w:p>
    <w:p w14:paraId="7371DED1" w14:textId="77777777" w:rsidR="00232E76" w:rsidRDefault="00232E76" w:rsidP="00CA2CFC">
      <w:pPr>
        <w:jc w:val="both"/>
        <w:rPr>
          <w:rFonts w:ascii="Calibri" w:hAnsi="Calibri"/>
        </w:rPr>
      </w:pPr>
    </w:p>
    <w:p w14:paraId="041ABC94" w14:textId="77777777" w:rsidR="00232E76" w:rsidRDefault="00232E76" w:rsidP="00232E76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Bilješka 8.</w:t>
      </w:r>
      <w:r w:rsidR="00CA2CFC" w:rsidRPr="00CA2CFC">
        <w:rPr>
          <w:rFonts w:ascii="Calibri" w:hAnsi="Calibri"/>
        </w:rPr>
        <w:t xml:space="preserve"> </w:t>
      </w:r>
    </w:p>
    <w:p w14:paraId="0BAEDF11" w14:textId="4C235664" w:rsidR="00232E76" w:rsidRPr="00232E76" w:rsidRDefault="00232E76" w:rsidP="00232E76">
      <w:pPr>
        <w:jc w:val="both"/>
        <w:rPr>
          <w:rFonts w:ascii="Calibri" w:hAnsi="Calibri"/>
        </w:rPr>
      </w:pPr>
      <w:r w:rsidRPr="00232E76">
        <w:rPr>
          <w:rFonts w:ascii="Calibri" w:hAnsi="Calibri"/>
        </w:rPr>
        <w:t xml:space="preserve">ŠIFRA 3211 Službena putovanja </w:t>
      </w:r>
      <w:r>
        <w:rPr>
          <w:rFonts w:ascii="Calibri" w:hAnsi="Calibri"/>
        </w:rPr>
        <w:t>smanjuju</w:t>
      </w:r>
      <w:r w:rsidRPr="00232E76">
        <w:rPr>
          <w:rFonts w:ascii="Calibri" w:hAnsi="Calibri"/>
        </w:rPr>
        <w:t xml:space="preserve"> se za </w:t>
      </w:r>
      <w:r>
        <w:rPr>
          <w:rFonts w:ascii="Calibri" w:hAnsi="Calibri"/>
        </w:rPr>
        <w:t>48,8</w:t>
      </w:r>
      <w:r w:rsidRPr="00232E76">
        <w:rPr>
          <w:rFonts w:ascii="Calibri" w:hAnsi="Calibri"/>
        </w:rPr>
        <w:t xml:space="preserve">% i iznose </w:t>
      </w:r>
      <w:r>
        <w:rPr>
          <w:rFonts w:ascii="Calibri" w:hAnsi="Calibri"/>
        </w:rPr>
        <w:t>412,7</w:t>
      </w:r>
      <w:r w:rsidRPr="00232E76">
        <w:rPr>
          <w:rFonts w:ascii="Calibri" w:hAnsi="Calibri"/>
        </w:rPr>
        <w:t xml:space="preserve"> eura </w:t>
      </w:r>
      <w:r>
        <w:rPr>
          <w:rFonts w:ascii="Calibri" w:hAnsi="Calibri"/>
        </w:rPr>
        <w:t xml:space="preserve">zbog smanjenog </w:t>
      </w:r>
      <w:r w:rsidR="00963C7D">
        <w:rPr>
          <w:rFonts w:ascii="Calibri" w:hAnsi="Calibri"/>
        </w:rPr>
        <w:t>broja odlazaka na službeni put. Također, od 40 putnih naloga provedenih u 2024. godini, njih 18 je s iznosom od 0,00 eura (putovanje manje od 8 sati).</w:t>
      </w:r>
    </w:p>
    <w:p w14:paraId="4EB03DA2" w14:textId="77777777" w:rsidR="00232E76" w:rsidRPr="00232E76" w:rsidRDefault="00232E76" w:rsidP="00232E76">
      <w:pPr>
        <w:jc w:val="both"/>
        <w:rPr>
          <w:rFonts w:ascii="Calibri" w:hAnsi="Calibri"/>
        </w:rPr>
      </w:pPr>
    </w:p>
    <w:p w14:paraId="5A394681" w14:textId="1AF9B686" w:rsidR="00232E76" w:rsidRPr="00232E76" w:rsidRDefault="00232E76" w:rsidP="00232E76">
      <w:pPr>
        <w:jc w:val="both"/>
        <w:rPr>
          <w:rFonts w:ascii="Calibri" w:hAnsi="Calibri"/>
        </w:rPr>
      </w:pPr>
      <w:r w:rsidRPr="00232E76">
        <w:rPr>
          <w:rFonts w:ascii="Calibri" w:hAnsi="Calibri"/>
        </w:rPr>
        <w:t xml:space="preserve">Bilješka </w:t>
      </w:r>
      <w:r w:rsidR="00963C7D">
        <w:rPr>
          <w:rFonts w:ascii="Calibri" w:hAnsi="Calibri"/>
        </w:rPr>
        <w:t>9</w:t>
      </w:r>
      <w:r w:rsidRPr="00232E76">
        <w:rPr>
          <w:rFonts w:ascii="Calibri" w:hAnsi="Calibri"/>
        </w:rPr>
        <w:t>.</w:t>
      </w:r>
    </w:p>
    <w:p w14:paraId="6252B281" w14:textId="101C42CA" w:rsidR="00232E76" w:rsidRPr="00232E76" w:rsidRDefault="00232E76" w:rsidP="00232E76">
      <w:pPr>
        <w:jc w:val="both"/>
        <w:rPr>
          <w:rFonts w:ascii="Calibri" w:hAnsi="Calibri"/>
        </w:rPr>
      </w:pPr>
      <w:r w:rsidRPr="00232E76">
        <w:rPr>
          <w:rFonts w:ascii="Calibri" w:hAnsi="Calibri"/>
        </w:rPr>
        <w:t xml:space="preserve">ŠIFRA 3212 Naknade za prijevoz, za rad na terenu i odvojeni život smanjuju se za </w:t>
      </w:r>
      <w:r w:rsidR="00963C7D">
        <w:rPr>
          <w:rFonts w:ascii="Calibri" w:hAnsi="Calibri"/>
        </w:rPr>
        <w:t>18,4</w:t>
      </w:r>
      <w:r w:rsidRPr="00232E76">
        <w:rPr>
          <w:rFonts w:ascii="Calibri" w:hAnsi="Calibri"/>
        </w:rPr>
        <w:t>% u odnosu na promatrano razdoblje pr</w:t>
      </w:r>
      <w:r w:rsidR="00963C7D">
        <w:rPr>
          <w:rFonts w:ascii="Calibri" w:hAnsi="Calibri"/>
        </w:rPr>
        <w:t>ethodne</w:t>
      </w:r>
      <w:r w:rsidRPr="00232E76">
        <w:rPr>
          <w:rFonts w:ascii="Calibri" w:hAnsi="Calibri"/>
        </w:rPr>
        <w:t xml:space="preserve"> godine zbog smanjenja naknade za prijevoz, odnosno smanjenje cijene autobusne karte</w:t>
      </w:r>
      <w:r w:rsidR="00963C7D">
        <w:rPr>
          <w:rFonts w:ascii="Calibri" w:hAnsi="Calibri"/>
        </w:rPr>
        <w:t xml:space="preserve"> sredinom 2023. godine</w:t>
      </w:r>
      <w:r w:rsidRPr="00232E76">
        <w:rPr>
          <w:rFonts w:ascii="Calibri" w:hAnsi="Calibri"/>
        </w:rPr>
        <w:t>.</w:t>
      </w:r>
    </w:p>
    <w:p w14:paraId="1996F16E" w14:textId="77777777" w:rsidR="00232E76" w:rsidRPr="00232E76" w:rsidRDefault="00232E76" w:rsidP="00232E76">
      <w:pPr>
        <w:jc w:val="both"/>
        <w:rPr>
          <w:rFonts w:ascii="Calibri" w:hAnsi="Calibri"/>
        </w:rPr>
      </w:pPr>
    </w:p>
    <w:p w14:paraId="4EB8D862" w14:textId="2B087DC2" w:rsidR="00232E76" w:rsidRPr="00232E76" w:rsidRDefault="00232E76" w:rsidP="00232E76">
      <w:pPr>
        <w:jc w:val="both"/>
        <w:rPr>
          <w:rFonts w:ascii="Calibri" w:hAnsi="Calibri"/>
        </w:rPr>
      </w:pPr>
      <w:r w:rsidRPr="00232E76">
        <w:rPr>
          <w:rFonts w:ascii="Calibri" w:hAnsi="Calibri"/>
        </w:rPr>
        <w:t xml:space="preserve">Bilješka </w:t>
      </w:r>
      <w:r w:rsidR="00A325FE">
        <w:rPr>
          <w:rFonts w:ascii="Calibri" w:hAnsi="Calibri"/>
        </w:rPr>
        <w:t>10</w:t>
      </w:r>
      <w:r w:rsidRPr="00232E76">
        <w:rPr>
          <w:rFonts w:ascii="Calibri" w:hAnsi="Calibri"/>
        </w:rPr>
        <w:t>.</w:t>
      </w:r>
    </w:p>
    <w:p w14:paraId="7171683D" w14:textId="1DE7E3F6" w:rsidR="00232E76" w:rsidRDefault="00232E76" w:rsidP="00232E76">
      <w:pPr>
        <w:jc w:val="both"/>
        <w:rPr>
          <w:rFonts w:ascii="Calibri" w:hAnsi="Calibri"/>
        </w:rPr>
      </w:pPr>
      <w:r w:rsidRPr="00232E76">
        <w:rPr>
          <w:rFonts w:ascii="Calibri" w:hAnsi="Calibri"/>
        </w:rPr>
        <w:t xml:space="preserve">ŠIFRA 3213 Stručno usavršavanje zaposlenika </w:t>
      </w:r>
      <w:r w:rsidR="00A325FE">
        <w:rPr>
          <w:rFonts w:ascii="Calibri" w:hAnsi="Calibri"/>
        </w:rPr>
        <w:t xml:space="preserve">smanjuje </w:t>
      </w:r>
      <w:r w:rsidRPr="00232E76">
        <w:rPr>
          <w:rFonts w:ascii="Calibri" w:hAnsi="Calibri"/>
        </w:rPr>
        <w:t xml:space="preserve">se za </w:t>
      </w:r>
      <w:r w:rsidR="00A325FE">
        <w:rPr>
          <w:rFonts w:ascii="Calibri" w:hAnsi="Calibri"/>
        </w:rPr>
        <w:t>41,4</w:t>
      </w:r>
      <w:r w:rsidRPr="00232E76">
        <w:rPr>
          <w:rFonts w:ascii="Calibri" w:hAnsi="Calibri"/>
        </w:rPr>
        <w:t>% u odnosu na promatrano razdoblje pr</w:t>
      </w:r>
      <w:r w:rsidR="00A325FE">
        <w:rPr>
          <w:rFonts w:ascii="Calibri" w:hAnsi="Calibri"/>
        </w:rPr>
        <w:t>ethodne</w:t>
      </w:r>
      <w:r w:rsidRPr="00232E76">
        <w:rPr>
          <w:rFonts w:ascii="Calibri" w:hAnsi="Calibri"/>
        </w:rPr>
        <w:t xml:space="preserve"> godine </w:t>
      </w:r>
      <w:r w:rsidR="00A325FE">
        <w:rPr>
          <w:rFonts w:ascii="Calibri" w:hAnsi="Calibri"/>
        </w:rPr>
        <w:t>zbog smanjenog broja odslušanih seminara.</w:t>
      </w:r>
    </w:p>
    <w:p w14:paraId="6539187B" w14:textId="77777777" w:rsidR="00A325FE" w:rsidRDefault="00A325FE" w:rsidP="00232E76">
      <w:pPr>
        <w:jc w:val="both"/>
        <w:rPr>
          <w:rFonts w:ascii="Calibri" w:hAnsi="Calibri"/>
        </w:rPr>
      </w:pPr>
    </w:p>
    <w:p w14:paraId="305E6BF2" w14:textId="341F064C" w:rsidR="00A325FE" w:rsidRPr="00A325FE" w:rsidRDefault="00A325FE" w:rsidP="00A325FE">
      <w:pPr>
        <w:jc w:val="both"/>
        <w:rPr>
          <w:rFonts w:ascii="Calibri" w:hAnsi="Calibri"/>
        </w:rPr>
      </w:pPr>
      <w:r w:rsidRPr="00A325FE">
        <w:rPr>
          <w:rFonts w:ascii="Calibri" w:hAnsi="Calibri"/>
        </w:rPr>
        <w:t xml:space="preserve">Bilješka </w:t>
      </w:r>
      <w:r>
        <w:rPr>
          <w:rFonts w:ascii="Calibri" w:hAnsi="Calibri"/>
        </w:rPr>
        <w:t>11</w:t>
      </w:r>
      <w:r w:rsidRPr="00A325FE">
        <w:rPr>
          <w:rFonts w:ascii="Calibri" w:hAnsi="Calibri"/>
        </w:rPr>
        <w:t>.</w:t>
      </w:r>
    </w:p>
    <w:p w14:paraId="315FE29B" w14:textId="4EEAC170" w:rsidR="00A325FE" w:rsidRPr="00A325FE" w:rsidRDefault="00A325FE" w:rsidP="00A325FE">
      <w:pPr>
        <w:jc w:val="both"/>
        <w:rPr>
          <w:rFonts w:ascii="Calibri" w:hAnsi="Calibri"/>
        </w:rPr>
      </w:pPr>
      <w:r w:rsidRPr="00A325FE">
        <w:rPr>
          <w:rFonts w:ascii="Calibri" w:hAnsi="Calibri"/>
        </w:rPr>
        <w:t>ŠIFRA 3221-322</w:t>
      </w:r>
      <w:r>
        <w:rPr>
          <w:rFonts w:ascii="Calibri" w:hAnsi="Calibri"/>
        </w:rPr>
        <w:t>5</w:t>
      </w:r>
      <w:r w:rsidRPr="00A325FE">
        <w:rPr>
          <w:rFonts w:ascii="Calibri" w:hAnsi="Calibri"/>
        </w:rPr>
        <w:t xml:space="preserve"> </w:t>
      </w:r>
      <w:r>
        <w:rPr>
          <w:rFonts w:ascii="Calibri" w:hAnsi="Calibri"/>
        </w:rPr>
        <w:t>U</w:t>
      </w:r>
      <w:r w:rsidRPr="00A325FE">
        <w:rPr>
          <w:rFonts w:ascii="Calibri" w:hAnsi="Calibri"/>
        </w:rPr>
        <w:t xml:space="preserve">redski materijal i ostali materijalni rashodi povećavaju se za </w:t>
      </w:r>
      <w:r>
        <w:rPr>
          <w:rFonts w:ascii="Calibri" w:hAnsi="Calibri"/>
        </w:rPr>
        <w:t>9,4</w:t>
      </w:r>
      <w:r w:rsidRPr="00A325FE">
        <w:rPr>
          <w:rFonts w:ascii="Calibri" w:hAnsi="Calibri"/>
        </w:rPr>
        <w:t>% u odnosu na promatrano razdoblje pr</w:t>
      </w:r>
      <w:r>
        <w:rPr>
          <w:rFonts w:ascii="Calibri" w:hAnsi="Calibri"/>
        </w:rPr>
        <w:t>ethodne</w:t>
      </w:r>
      <w:r w:rsidRPr="00A325FE">
        <w:rPr>
          <w:rFonts w:ascii="Calibri" w:hAnsi="Calibri"/>
        </w:rPr>
        <w:t xml:space="preserve"> godine i iznose </w:t>
      </w:r>
      <w:r>
        <w:rPr>
          <w:rFonts w:ascii="Calibri" w:hAnsi="Calibri"/>
        </w:rPr>
        <w:t>2.844,11</w:t>
      </w:r>
      <w:r w:rsidRPr="00A325FE">
        <w:rPr>
          <w:rFonts w:ascii="Calibri" w:hAnsi="Calibri"/>
        </w:rPr>
        <w:t xml:space="preserve"> eura zbog </w:t>
      </w:r>
      <w:r>
        <w:rPr>
          <w:rFonts w:ascii="Calibri" w:hAnsi="Calibri"/>
        </w:rPr>
        <w:t>blago povećane potrebe za uredskim materijalom sukladno povećanom obujmu posla u 2024. godini.</w:t>
      </w:r>
      <w:r w:rsidR="00627924">
        <w:rPr>
          <w:rFonts w:ascii="Calibri" w:hAnsi="Calibri"/>
        </w:rPr>
        <w:t xml:space="preserve"> Rashodi za energiju povećani su za 11% u odnosu na prethodno razdoblje, a zbog blagog povećanja troškova plina i goriva.</w:t>
      </w:r>
      <w:r w:rsidR="004B2F2E">
        <w:rPr>
          <w:rFonts w:ascii="Calibri" w:hAnsi="Calibri"/>
        </w:rPr>
        <w:t xml:space="preserve"> Materijal i dijelovi za tekuće i investicijsko održavanje u prethodnom razdoblju je iznosio 0,00 eura, a u promatranom iznosi 331,25 eura i odnosi se na zamjenu bubnja na kopirnom uređaju. Rashod sitnog inventara povećan je za 99,5% zbog kupljenih 11 kompleta tipkovnica s miševima, za djelatnike kojima su nabavljeni monitori za lakši rad.</w:t>
      </w:r>
    </w:p>
    <w:p w14:paraId="468516EB" w14:textId="77777777" w:rsidR="00A325FE" w:rsidRPr="00A325FE" w:rsidRDefault="00A325FE" w:rsidP="00A325FE">
      <w:pPr>
        <w:jc w:val="both"/>
        <w:rPr>
          <w:rFonts w:ascii="Calibri" w:hAnsi="Calibri"/>
        </w:rPr>
      </w:pPr>
    </w:p>
    <w:p w14:paraId="7ACD2190" w14:textId="16D61BE1" w:rsidR="00A325FE" w:rsidRPr="00A325FE" w:rsidRDefault="00A325FE" w:rsidP="00A325FE">
      <w:pPr>
        <w:jc w:val="both"/>
        <w:rPr>
          <w:rFonts w:ascii="Calibri" w:hAnsi="Calibri"/>
        </w:rPr>
      </w:pPr>
      <w:r w:rsidRPr="00A325FE">
        <w:rPr>
          <w:rFonts w:ascii="Calibri" w:hAnsi="Calibri"/>
        </w:rPr>
        <w:t xml:space="preserve">Bilješka </w:t>
      </w:r>
      <w:r w:rsidR="004B2F2E">
        <w:rPr>
          <w:rFonts w:ascii="Calibri" w:hAnsi="Calibri"/>
        </w:rPr>
        <w:t>12</w:t>
      </w:r>
      <w:r w:rsidRPr="00A325FE">
        <w:rPr>
          <w:rFonts w:ascii="Calibri" w:hAnsi="Calibri"/>
        </w:rPr>
        <w:t>.</w:t>
      </w:r>
    </w:p>
    <w:p w14:paraId="773E5FFB" w14:textId="2E70FE66" w:rsidR="003966B7" w:rsidRDefault="00A325FE" w:rsidP="00A325FE">
      <w:pPr>
        <w:jc w:val="both"/>
        <w:rPr>
          <w:rFonts w:ascii="Calibri" w:hAnsi="Calibri"/>
        </w:rPr>
      </w:pPr>
      <w:r w:rsidRPr="00A325FE">
        <w:rPr>
          <w:rFonts w:ascii="Calibri" w:hAnsi="Calibri"/>
        </w:rPr>
        <w:t>ŠIFRA 3231-32</w:t>
      </w:r>
      <w:r w:rsidR="004B2F2E">
        <w:rPr>
          <w:rFonts w:ascii="Calibri" w:hAnsi="Calibri"/>
        </w:rPr>
        <w:t>39</w:t>
      </w:r>
      <w:r w:rsidRPr="00A325FE">
        <w:rPr>
          <w:rFonts w:ascii="Calibri" w:hAnsi="Calibri"/>
        </w:rPr>
        <w:t xml:space="preserve"> </w:t>
      </w:r>
      <w:r w:rsidR="00BD0E5C">
        <w:rPr>
          <w:rFonts w:ascii="Calibri" w:hAnsi="Calibri"/>
        </w:rPr>
        <w:t>Smanjuju</w:t>
      </w:r>
      <w:r w:rsidRPr="00A325FE">
        <w:rPr>
          <w:rFonts w:ascii="Calibri" w:hAnsi="Calibri"/>
        </w:rPr>
        <w:t xml:space="preserve"> se rashodi za usluge telefona, pošte i prijevoza</w:t>
      </w:r>
      <w:r w:rsidR="00BD0E5C">
        <w:rPr>
          <w:rFonts w:ascii="Calibri" w:hAnsi="Calibri"/>
        </w:rPr>
        <w:t xml:space="preserve"> za 7,8%</w:t>
      </w:r>
      <w:r w:rsidR="003966B7">
        <w:rPr>
          <w:rFonts w:ascii="Calibri" w:hAnsi="Calibri"/>
        </w:rPr>
        <w:t>, usluge tekućeg i investicijskog održavanja smanjuju se sa 1.250,20 eura na 320,77 eura (u 2023. godini su obavljena 2 veća popravka, popravak vozila i kopirnog stroja, a ostale usluge smanjuju se za 48,1%</w:t>
      </w:r>
      <w:r w:rsidR="0001537B">
        <w:rPr>
          <w:rFonts w:ascii="Calibri" w:hAnsi="Calibri"/>
        </w:rPr>
        <w:t xml:space="preserve"> </w:t>
      </w:r>
      <w:r w:rsidR="0001537B" w:rsidRPr="004809E1">
        <w:rPr>
          <w:rFonts w:ascii="Calibri" w:hAnsi="Calibri"/>
        </w:rPr>
        <w:t xml:space="preserve">zbog </w:t>
      </w:r>
      <w:r w:rsidR="0001537B">
        <w:rPr>
          <w:rFonts w:ascii="Calibri" w:hAnsi="Calibri"/>
        </w:rPr>
        <w:t xml:space="preserve">troškova </w:t>
      </w:r>
      <w:r w:rsidR="0001537B" w:rsidRPr="004809E1">
        <w:rPr>
          <w:rFonts w:ascii="Calibri" w:hAnsi="Calibri"/>
        </w:rPr>
        <w:t xml:space="preserve">izrade </w:t>
      </w:r>
      <w:r w:rsidR="0001537B">
        <w:rPr>
          <w:rFonts w:ascii="Calibri" w:hAnsi="Calibri"/>
        </w:rPr>
        <w:t>brošure i video materijala</w:t>
      </w:r>
      <w:r w:rsidR="0001537B" w:rsidRPr="004809E1">
        <w:rPr>
          <w:rFonts w:ascii="Calibri" w:hAnsi="Calibri"/>
        </w:rPr>
        <w:t xml:space="preserve"> </w:t>
      </w:r>
      <w:r w:rsidR="0001537B">
        <w:rPr>
          <w:rFonts w:ascii="Calibri" w:hAnsi="Calibri"/>
        </w:rPr>
        <w:t>povodom</w:t>
      </w:r>
      <w:r w:rsidR="0001537B" w:rsidRPr="004809E1">
        <w:rPr>
          <w:rFonts w:ascii="Calibri" w:hAnsi="Calibri"/>
        </w:rPr>
        <w:t xml:space="preserve"> </w:t>
      </w:r>
      <w:r w:rsidR="0001537B">
        <w:rPr>
          <w:rFonts w:ascii="Calibri" w:hAnsi="Calibri"/>
        </w:rPr>
        <w:t>obilježavanja 10. godišnjice osnutka Agencije</w:t>
      </w:r>
      <w:r w:rsidR="0001537B">
        <w:rPr>
          <w:rFonts w:ascii="Calibri" w:hAnsi="Calibri"/>
        </w:rPr>
        <w:t xml:space="preserve"> u 2023. godini</w:t>
      </w:r>
      <w:r w:rsidR="0001537B">
        <w:rPr>
          <w:rFonts w:ascii="Calibri" w:hAnsi="Calibri"/>
        </w:rPr>
        <w:t>.</w:t>
      </w:r>
      <w:r w:rsidR="0001537B">
        <w:rPr>
          <w:rFonts w:ascii="Calibri" w:hAnsi="Calibri"/>
        </w:rPr>
        <w:t xml:space="preserve"> Rashodi za zakupnine i najamnine povećani su za 4,7% zbog najma kopirnog uređaja, a računalne usluge povećane su za 26,5% zbog dodatnih zakonski obveznih usluga ugovorenih s pružateljem (</w:t>
      </w:r>
      <w:proofErr w:type="spellStart"/>
      <w:r w:rsidR="0001537B">
        <w:rPr>
          <w:rFonts w:ascii="Calibri" w:hAnsi="Calibri"/>
        </w:rPr>
        <w:t>Libusoft</w:t>
      </w:r>
      <w:proofErr w:type="spellEnd"/>
      <w:r w:rsidR="0001537B">
        <w:rPr>
          <w:rFonts w:ascii="Calibri" w:hAnsi="Calibri"/>
        </w:rPr>
        <w:t xml:space="preserve"> Cicom d.o.o.).</w:t>
      </w:r>
    </w:p>
    <w:p w14:paraId="0CBD2994" w14:textId="77777777" w:rsidR="003966B7" w:rsidRDefault="003966B7" w:rsidP="00A325FE">
      <w:pPr>
        <w:jc w:val="both"/>
        <w:rPr>
          <w:rFonts w:ascii="Calibri" w:hAnsi="Calibri"/>
        </w:rPr>
      </w:pPr>
    </w:p>
    <w:p w14:paraId="74BB330C" w14:textId="3B654052" w:rsidR="0001537B" w:rsidRPr="0001537B" w:rsidRDefault="0001537B" w:rsidP="0001537B">
      <w:pPr>
        <w:spacing w:line="276" w:lineRule="auto"/>
        <w:jc w:val="both"/>
        <w:rPr>
          <w:rFonts w:ascii="Calibri" w:hAnsi="Calibri"/>
        </w:rPr>
      </w:pPr>
      <w:r w:rsidRPr="0001537B">
        <w:rPr>
          <w:rFonts w:ascii="Calibri" w:hAnsi="Calibri"/>
        </w:rPr>
        <w:t xml:space="preserve">Bilješka </w:t>
      </w:r>
      <w:r>
        <w:rPr>
          <w:rFonts w:ascii="Calibri" w:hAnsi="Calibri"/>
        </w:rPr>
        <w:t>13</w:t>
      </w:r>
      <w:r w:rsidRPr="0001537B">
        <w:rPr>
          <w:rFonts w:ascii="Calibri" w:hAnsi="Calibri"/>
        </w:rPr>
        <w:t>.</w:t>
      </w:r>
    </w:p>
    <w:p w14:paraId="58E654A8" w14:textId="3BC7840A" w:rsidR="00CA2CFC" w:rsidRPr="001F6D61" w:rsidRDefault="0001537B" w:rsidP="0001537B">
      <w:pPr>
        <w:spacing w:line="276" w:lineRule="auto"/>
        <w:jc w:val="both"/>
        <w:rPr>
          <w:rFonts w:ascii="Calibri" w:hAnsi="Calibri"/>
        </w:rPr>
      </w:pPr>
      <w:r w:rsidRPr="0001537B">
        <w:rPr>
          <w:rFonts w:ascii="Calibri" w:hAnsi="Calibri"/>
        </w:rPr>
        <w:t>ŠIFRA 329</w:t>
      </w:r>
      <w:r>
        <w:rPr>
          <w:rFonts w:ascii="Calibri" w:hAnsi="Calibri"/>
        </w:rPr>
        <w:t>2</w:t>
      </w:r>
      <w:r w:rsidRPr="0001537B">
        <w:rPr>
          <w:rFonts w:ascii="Calibri" w:hAnsi="Calibri"/>
        </w:rPr>
        <w:t>-329</w:t>
      </w:r>
      <w:r>
        <w:rPr>
          <w:rFonts w:ascii="Calibri" w:hAnsi="Calibri"/>
        </w:rPr>
        <w:t>5</w:t>
      </w:r>
      <w:r w:rsidRPr="0001537B">
        <w:rPr>
          <w:rFonts w:ascii="Calibri" w:hAnsi="Calibri"/>
        </w:rPr>
        <w:t xml:space="preserve"> Smanjuju se rashodi za </w:t>
      </w:r>
      <w:r>
        <w:rPr>
          <w:rFonts w:ascii="Calibri" w:hAnsi="Calibri"/>
        </w:rPr>
        <w:t>premije osiguranja za 13,5%</w:t>
      </w:r>
      <w:r w:rsidR="00684CA0">
        <w:rPr>
          <w:rFonts w:ascii="Calibri" w:hAnsi="Calibri"/>
        </w:rPr>
        <w:t xml:space="preserve"> zbog pojeftinjenja usluge</w:t>
      </w:r>
      <w:r w:rsidRPr="0001537B">
        <w:rPr>
          <w:rFonts w:ascii="Calibri" w:hAnsi="Calibri"/>
        </w:rPr>
        <w:t xml:space="preserve">, </w:t>
      </w:r>
      <w:r w:rsidR="00684CA0">
        <w:rPr>
          <w:rFonts w:ascii="Calibri" w:hAnsi="Calibri"/>
        </w:rPr>
        <w:t xml:space="preserve">dok se istodobno povećavaju </w:t>
      </w:r>
      <w:r w:rsidRPr="0001537B">
        <w:rPr>
          <w:rFonts w:ascii="Calibri" w:hAnsi="Calibri"/>
        </w:rPr>
        <w:t xml:space="preserve">rashodi za pristojbe i naknade u iznosu od </w:t>
      </w:r>
      <w:r w:rsidR="00684CA0">
        <w:rPr>
          <w:rFonts w:ascii="Calibri" w:hAnsi="Calibri"/>
        </w:rPr>
        <w:t>200,00</w:t>
      </w:r>
      <w:r w:rsidRPr="0001537B">
        <w:rPr>
          <w:rFonts w:ascii="Calibri" w:hAnsi="Calibri"/>
        </w:rPr>
        <w:t xml:space="preserve"> eura (</w:t>
      </w:r>
      <w:r w:rsidR="00684CA0">
        <w:rPr>
          <w:rFonts w:ascii="Calibri" w:hAnsi="Calibri"/>
        </w:rPr>
        <w:t>zbog učlanjenja u Hrvatsku gospodarsku komoru</w:t>
      </w:r>
      <w:r w:rsidRPr="0001537B">
        <w:rPr>
          <w:rFonts w:ascii="Calibri" w:hAnsi="Calibri"/>
        </w:rPr>
        <w:t>)</w:t>
      </w:r>
      <w:r w:rsidR="00684CA0">
        <w:rPr>
          <w:rFonts w:ascii="Calibri" w:hAnsi="Calibri"/>
        </w:rPr>
        <w:t>. Pristojbe i naknade se povećavaju sa 79,63 eura na 213,76 eura</w:t>
      </w:r>
      <w:r w:rsidRPr="0001537B">
        <w:rPr>
          <w:rFonts w:ascii="Calibri" w:hAnsi="Calibri"/>
        </w:rPr>
        <w:t xml:space="preserve"> </w:t>
      </w:r>
      <w:r w:rsidR="00684CA0">
        <w:rPr>
          <w:rFonts w:ascii="Calibri" w:hAnsi="Calibri"/>
        </w:rPr>
        <w:t>isključivo zbog novog načina knjiženja RTV pristojbe koja je ranije bila knjižena na drugom računu.</w:t>
      </w:r>
    </w:p>
    <w:p w14:paraId="0E4E51B5" w14:textId="77777777" w:rsidR="00CA7B7D" w:rsidRDefault="00CA7B7D" w:rsidP="00CA7B7D">
      <w:pPr>
        <w:spacing w:line="276" w:lineRule="auto"/>
        <w:jc w:val="both"/>
        <w:rPr>
          <w:rFonts w:ascii="Calibri" w:hAnsi="Calibri"/>
          <w:i/>
          <w:iCs/>
        </w:rPr>
      </w:pPr>
    </w:p>
    <w:p w14:paraId="17B2E788" w14:textId="75599BF5" w:rsidR="00653017" w:rsidRPr="00653017" w:rsidRDefault="00653017" w:rsidP="00653017">
      <w:pPr>
        <w:spacing w:line="276" w:lineRule="auto"/>
        <w:jc w:val="both"/>
        <w:rPr>
          <w:rFonts w:ascii="Calibri" w:hAnsi="Calibri"/>
        </w:rPr>
      </w:pPr>
      <w:r w:rsidRPr="00653017">
        <w:rPr>
          <w:rFonts w:ascii="Calibri" w:hAnsi="Calibri"/>
        </w:rPr>
        <w:t xml:space="preserve">Bilješka </w:t>
      </w:r>
      <w:r>
        <w:rPr>
          <w:rFonts w:ascii="Calibri" w:hAnsi="Calibri"/>
        </w:rPr>
        <w:t>14</w:t>
      </w:r>
      <w:r w:rsidRPr="00653017">
        <w:rPr>
          <w:rFonts w:ascii="Calibri" w:hAnsi="Calibri"/>
        </w:rPr>
        <w:t>.</w:t>
      </w:r>
    </w:p>
    <w:p w14:paraId="258858E6" w14:textId="0578257B" w:rsidR="00CA7B7D" w:rsidRDefault="00653017" w:rsidP="00653017">
      <w:pPr>
        <w:spacing w:line="276" w:lineRule="auto"/>
        <w:jc w:val="both"/>
        <w:rPr>
          <w:rFonts w:ascii="Calibri" w:hAnsi="Calibri"/>
        </w:rPr>
      </w:pPr>
      <w:r w:rsidRPr="00653017">
        <w:rPr>
          <w:rFonts w:ascii="Calibri" w:hAnsi="Calibri"/>
        </w:rPr>
        <w:t>ŠIFRA 4</w:t>
      </w:r>
      <w:r>
        <w:rPr>
          <w:rFonts w:ascii="Calibri" w:hAnsi="Calibri"/>
        </w:rPr>
        <w:t xml:space="preserve">221-4222 </w:t>
      </w:r>
      <w:r w:rsidRPr="00653017">
        <w:rPr>
          <w:rFonts w:ascii="Calibri" w:hAnsi="Calibri"/>
        </w:rPr>
        <w:t xml:space="preserve">Rashodi za nabavu proizvedene dugotrajne imovine </w:t>
      </w:r>
      <w:r>
        <w:rPr>
          <w:rFonts w:ascii="Calibri" w:hAnsi="Calibri"/>
        </w:rPr>
        <w:t>povećavaju</w:t>
      </w:r>
      <w:r w:rsidRPr="00653017">
        <w:rPr>
          <w:rFonts w:ascii="Calibri" w:hAnsi="Calibri"/>
        </w:rPr>
        <w:t xml:space="preserve"> se za </w:t>
      </w:r>
      <w:r>
        <w:rPr>
          <w:rFonts w:ascii="Calibri" w:hAnsi="Calibri"/>
        </w:rPr>
        <w:t>34,2</w:t>
      </w:r>
      <w:r w:rsidRPr="00653017">
        <w:rPr>
          <w:rFonts w:ascii="Calibri" w:hAnsi="Calibri"/>
        </w:rPr>
        <w:t xml:space="preserve">% u odnosu na promatrano razdoblje </w:t>
      </w:r>
      <w:r>
        <w:rPr>
          <w:rFonts w:ascii="Calibri" w:hAnsi="Calibri"/>
        </w:rPr>
        <w:t>prethodne</w:t>
      </w:r>
      <w:r w:rsidRPr="00653017">
        <w:rPr>
          <w:rFonts w:ascii="Calibri" w:hAnsi="Calibri"/>
        </w:rPr>
        <w:t xml:space="preserve"> godine i iznose </w:t>
      </w:r>
      <w:r>
        <w:rPr>
          <w:rFonts w:ascii="Calibri" w:hAnsi="Calibri"/>
        </w:rPr>
        <w:t>4.614,54</w:t>
      </w:r>
      <w:r w:rsidRPr="00653017">
        <w:rPr>
          <w:rFonts w:ascii="Calibri" w:hAnsi="Calibri"/>
        </w:rPr>
        <w:t xml:space="preserve"> eura, a odnose se na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lastRenderedPageBreak/>
        <w:t xml:space="preserve">uredsku opremu i namještaj. </w:t>
      </w:r>
      <w:r w:rsidR="00542294">
        <w:rPr>
          <w:rFonts w:ascii="Calibri" w:hAnsi="Calibri"/>
        </w:rPr>
        <w:t xml:space="preserve">U 2024. godini nabavljeno je 2 nova prijenosna računala, 12 monitora i 3 uredske stolice. Naime, u Agenciji su prijenosna računala osnovno sredstvo za rad i nabavkom monitora djelatnicima je uvelike olakšan svakodnevni posao. U 2023. godini rashodi za komunikacijsku opremu iznosili su 860,00 eura zbog kupovine dva službena mobilna uređaja, dok u 2024. godini tog rashoda nema.  </w:t>
      </w:r>
    </w:p>
    <w:p w14:paraId="3AF28E28" w14:textId="77777777" w:rsidR="00542294" w:rsidRDefault="00542294" w:rsidP="00653017">
      <w:pPr>
        <w:spacing w:line="276" w:lineRule="auto"/>
        <w:jc w:val="both"/>
        <w:rPr>
          <w:rFonts w:ascii="Calibri" w:hAnsi="Calibri"/>
        </w:rPr>
      </w:pPr>
    </w:p>
    <w:p w14:paraId="6C870326" w14:textId="4CF43BE8" w:rsidR="006A1A35" w:rsidRPr="006A1A35" w:rsidRDefault="006A1A35" w:rsidP="006A1A35">
      <w:pPr>
        <w:spacing w:line="276" w:lineRule="auto"/>
        <w:jc w:val="both"/>
        <w:rPr>
          <w:rFonts w:ascii="Calibri" w:hAnsi="Calibri"/>
        </w:rPr>
      </w:pPr>
      <w:r w:rsidRPr="006A1A35">
        <w:rPr>
          <w:rFonts w:ascii="Calibri" w:hAnsi="Calibri"/>
        </w:rPr>
        <w:t xml:space="preserve">Bilješka </w:t>
      </w:r>
      <w:r>
        <w:rPr>
          <w:rFonts w:ascii="Calibri" w:hAnsi="Calibri"/>
        </w:rPr>
        <w:t>15</w:t>
      </w:r>
      <w:r w:rsidRPr="006A1A35">
        <w:rPr>
          <w:rFonts w:ascii="Calibri" w:hAnsi="Calibri"/>
        </w:rPr>
        <w:t>.</w:t>
      </w:r>
    </w:p>
    <w:p w14:paraId="1290C830" w14:textId="152CFC4C" w:rsidR="006A1A35" w:rsidRPr="006A1A35" w:rsidRDefault="006A1A35" w:rsidP="006A1A35">
      <w:pPr>
        <w:spacing w:line="276" w:lineRule="auto"/>
        <w:jc w:val="both"/>
        <w:rPr>
          <w:rFonts w:ascii="Calibri" w:hAnsi="Calibri"/>
        </w:rPr>
      </w:pPr>
      <w:r w:rsidRPr="006A1A35">
        <w:rPr>
          <w:rFonts w:ascii="Calibri" w:hAnsi="Calibri"/>
        </w:rPr>
        <w:t xml:space="preserve">ŠIFRA X678 Ukupni prihodi i primici veći su za </w:t>
      </w:r>
      <w:r>
        <w:rPr>
          <w:rFonts w:ascii="Calibri" w:hAnsi="Calibri"/>
        </w:rPr>
        <w:t>443,7</w:t>
      </w:r>
      <w:r w:rsidRPr="006A1A35">
        <w:rPr>
          <w:rFonts w:ascii="Calibri" w:hAnsi="Calibri"/>
        </w:rPr>
        <w:t>% u odnosu na promatrano razdoblje prošle godine</w:t>
      </w:r>
      <w:r>
        <w:rPr>
          <w:rFonts w:ascii="Calibri" w:hAnsi="Calibri"/>
        </w:rPr>
        <w:t xml:space="preserve"> i iznose678.525,68</w:t>
      </w:r>
      <w:r w:rsidRPr="006A1A35">
        <w:rPr>
          <w:rFonts w:ascii="Calibri" w:hAnsi="Calibri"/>
        </w:rPr>
        <w:t xml:space="preserve"> eura</w:t>
      </w:r>
      <w:r>
        <w:rPr>
          <w:rFonts w:ascii="Calibri" w:hAnsi="Calibri"/>
        </w:rPr>
        <w:t>.</w:t>
      </w:r>
      <w:r w:rsidRPr="006A1A35">
        <w:rPr>
          <w:rFonts w:ascii="Calibri" w:hAnsi="Calibri"/>
        </w:rPr>
        <w:t xml:space="preserve"> U promatranom razdoblju p</w:t>
      </w:r>
      <w:r>
        <w:rPr>
          <w:rFonts w:ascii="Calibri" w:hAnsi="Calibri"/>
        </w:rPr>
        <w:t>rethodne</w:t>
      </w:r>
      <w:r w:rsidRPr="006A1A35">
        <w:rPr>
          <w:rFonts w:ascii="Calibri" w:hAnsi="Calibri"/>
        </w:rPr>
        <w:t xml:space="preserve"> godine ukupni prihodi i primici iznosili su </w:t>
      </w:r>
      <w:r>
        <w:rPr>
          <w:rFonts w:ascii="Calibri" w:hAnsi="Calibri"/>
        </w:rPr>
        <w:t>468.954,60 eura.</w:t>
      </w:r>
    </w:p>
    <w:p w14:paraId="575C84D2" w14:textId="77777777" w:rsidR="006A1A35" w:rsidRPr="006A1A35" w:rsidRDefault="006A1A35" w:rsidP="006A1A35">
      <w:pPr>
        <w:spacing w:line="276" w:lineRule="auto"/>
        <w:jc w:val="both"/>
        <w:rPr>
          <w:rFonts w:ascii="Calibri" w:hAnsi="Calibri"/>
        </w:rPr>
      </w:pPr>
    </w:p>
    <w:p w14:paraId="13604CA6" w14:textId="507CEDDE" w:rsidR="006A1A35" w:rsidRPr="006A1A35" w:rsidRDefault="006A1A35" w:rsidP="006A1A35">
      <w:pPr>
        <w:spacing w:line="276" w:lineRule="auto"/>
        <w:jc w:val="both"/>
        <w:rPr>
          <w:rFonts w:ascii="Calibri" w:hAnsi="Calibri"/>
        </w:rPr>
      </w:pPr>
      <w:r w:rsidRPr="006A1A35">
        <w:rPr>
          <w:rFonts w:ascii="Calibri" w:hAnsi="Calibri"/>
        </w:rPr>
        <w:t xml:space="preserve">Bilješka </w:t>
      </w:r>
      <w:r>
        <w:rPr>
          <w:rFonts w:ascii="Calibri" w:hAnsi="Calibri"/>
        </w:rPr>
        <w:t>16</w:t>
      </w:r>
      <w:r w:rsidRPr="006A1A35">
        <w:rPr>
          <w:rFonts w:ascii="Calibri" w:hAnsi="Calibri"/>
        </w:rPr>
        <w:t>.</w:t>
      </w:r>
    </w:p>
    <w:p w14:paraId="70694668" w14:textId="2405DBA8" w:rsidR="006A1A35" w:rsidRPr="006A1A35" w:rsidRDefault="006A1A35" w:rsidP="006A1A35">
      <w:pPr>
        <w:spacing w:line="276" w:lineRule="auto"/>
        <w:jc w:val="both"/>
        <w:rPr>
          <w:rFonts w:ascii="Calibri" w:hAnsi="Calibri"/>
        </w:rPr>
      </w:pPr>
      <w:r w:rsidRPr="006A1A35">
        <w:rPr>
          <w:rFonts w:ascii="Calibri" w:hAnsi="Calibri"/>
        </w:rPr>
        <w:t xml:space="preserve">ŠIFRA Y345 Ukupni rashodi i izdaci veći su za </w:t>
      </w:r>
      <w:r>
        <w:rPr>
          <w:rFonts w:ascii="Calibri" w:hAnsi="Calibri"/>
        </w:rPr>
        <w:t>44,3</w:t>
      </w:r>
      <w:r w:rsidRPr="006A1A35">
        <w:rPr>
          <w:rFonts w:ascii="Calibri" w:hAnsi="Calibri"/>
        </w:rPr>
        <w:t xml:space="preserve">% u iznosu u odnosu na prošlu godinu. U promatranom razdoblju </w:t>
      </w:r>
      <w:r>
        <w:rPr>
          <w:rFonts w:ascii="Calibri" w:hAnsi="Calibri"/>
        </w:rPr>
        <w:t>prethodne</w:t>
      </w:r>
      <w:r w:rsidRPr="006A1A35">
        <w:rPr>
          <w:rFonts w:ascii="Calibri" w:hAnsi="Calibri"/>
        </w:rPr>
        <w:t xml:space="preserve"> godine ukupni rashodi i izdaci iznosili su </w:t>
      </w:r>
      <w:r>
        <w:rPr>
          <w:rFonts w:ascii="Calibri" w:hAnsi="Calibri"/>
        </w:rPr>
        <w:t>469.351,40</w:t>
      </w:r>
      <w:r w:rsidRPr="006A1A35">
        <w:rPr>
          <w:rFonts w:ascii="Calibri" w:hAnsi="Calibri"/>
        </w:rPr>
        <w:t xml:space="preserve"> eura, a ove godine iznose </w:t>
      </w:r>
      <w:r>
        <w:rPr>
          <w:rFonts w:ascii="Calibri" w:hAnsi="Calibri"/>
        </w:rPr>
        <w:t>677.257,05</w:t>
      </w:r>
      <w:r w:rsidRPr="006A1A35">
        <w:rPr>
          <w:rFonts w:ascii="Calibri" w:hAnsi="Calibri"/>
        </w:rPr>
        <w:t xml:space="preserve"> eura.</w:t>
      </w:r>
    </w:p>
    <w:p w14:paraId="11BEF646" w14:textId="77777777" w:rsidR="006A1A35" w:rsidRPr="006A1A35" w:rsidRDefault="006A1A35" w:rsidP="006A1A35">
      <w:pPr>
        <w:spacing w:line="276" w:lineRule="auto"/>
        <w:jc w:val="both"/>
        <w:rPr>
          <w:rFonts w:ascii="Calibri" w:hAnsi="Calibri"/>
        </w:rPr>
      </w:pPr>
    </w:p>
    <w:p w14:paraId="65FAA3E2" w14:textId="5BEA72B0" w:rsidR="006A1A35" w:rsidRDefault="006A1A35" w:rsidP="006A1A35">
      <w:pPr>
        <w:spacing w:line="276" w:lineRule="auto"/>
        <w:jc w:val="both"/>
        <w:rPr>
          <w:rFonts w:ascii="Calibri" w:hAnsi="Calibri"/>
        </w:rPr>
      </w:pPr>
      <w:r w:rsidRPr="006A1A35">
        <w:rPr>
          <w:rFonts w:ascii="Calibri" w:hAnsi="Calibri"/>
        </w:rPr>
        <w:t xml:space="preserve">Bilješka </w:t>
      </w:r>
      <w:r>
        <w:rPr>
          <w:rFonts w:ascii="Calibri" w:hAnsi="Calibri"/>
        </w:rPr>
        <w:t>17</w:t>
      </w:r>
      <w:r w:rsidRPr="006A1A35">
        <w:rPr>
          <w:rFonts w:ascii="Calibri" w:hAnsi="Calibri"/>
        </w:rPr>
        <w:t>.</w:t>
      </w:r>
    </w:p>
    <w:p w14:paraId="5B6E07BE" w14:textId="6A9CCC42" w:rsidR="006A1A35" w:rsidRDefault="006A1A35" w:rsidP="006A1A35">
      <w:pPr>
        <w:spacing w:line="276" w:lineRule="auto"/>
        <w:jc w:val="both"/>
        <w:rPr>
          <w:rFonts w:ascii="Calibri" w:hAnsi="Calibri"/>
        </w:rPr>
      </w:pPr>
      <w:r w:rsidRPr="006A1A35">
        <w:rPr>
          <w:rFonts w:ascii="Calibri" w:hAnsi="Calibri"/>
        </w:rPr>
        <w:t>ŠIFRA X005</w:t>
      </w:r>
      <w:r>
        <w:rPr>
          <w:rFonts w:ascii="Calibri" w:hAnsi="Calibri"/>
        </w:rPr>
        <w:t xml:space="preserve"> Višak prihoda i primitaka iznosi 1.268,63 eura i u potpunosti se odnosi na višak iz vlastitih izvora.</w:t>
      </w:r>
      <w:r w:rsidRPr="006A1A35">
        <w:rPr>
          <w:rFonts w:ascii="Calibri" w:hAnsi="Calibri"/>
        </w:rPr>
        <w:t xml:space="preserve"> U promatranom razdoblju </w:t>
      </w:r>
      <w:r>
        <w:rPr>
          <w:rFonts w:ascii="Calibri" w:hAnsi="Calibri"/>
        </w:rPr>
        <w:t>prethodne godine nije</w:t>
      </w:r>
      <w:r w:rsidRPr="006A1A35">
        <w:rPr>
          <w:rFonts w:ascii="Calibri" w:hAnsi="Calibri"/>
        </w:rPr>
        <w:t xml:space="preserve"> ostvaren višak prihoda i primitaka</w:t>
      </w:r>
      <w:r>
        <w:rPr>
          <w:rFonts w:ascii="Calibri" w:hAnsi="Calibri"/>
        </w:rPr>
        <w:t>.</w:t>
      </w:r>
    </w:p>
    <w:p w14:paraId="7FB06786" w14:textId="77777777" w:rsidR="006A1A35" w:rsidRDefault="006A1A35" w:rsidP="006A1A35">
      <w:pPr>
        <w:spacing w:line="276" w:lineRule="auto"/>
        <w:jc w:val="both"/>
        <w:rPr>
          <w:rFonts w:ascii="Calibri" w:hAnsi="Calibri"/>
        </w:rPr>
      </w:pPr>
    </w:p>
    <w:p w14:paraId="5866FEE8" w14:textId="36F69008" w:rsidR="006A1A35" w:rsidRPr="006A1A35" w:rsidRDefault="006A1A35" w:rsidP="006A1A35">
      <w:pPr>
        <w:spacing w:line="276" w:lineRule="auto"/>
        <w:jc w:val="both"/>
        <w:rPr>
          <w:rFonts w:ascii="Calibri" w:hAnsi="Calibri"/>
        </w:rPr>
      </w:pPr>
      <w:r w:rsidRPr="006A1A35">
        <w:rPr>
          <w:rFonts w:ascii="Calibri" w:hAnsi="Calibri"/>
        </w:rPr>
        <w:t xml:space="preserve">Bilješka </w:t>
      </w:r>
      <w:r w:rsidR="009378D8">
        <w:rPr>
          <w:rFonts w:ascii="Calibri" w:hAnsi="Calibri"/>
        </w:rPr>
        <w:t>18</w:t>
      </w:r>
      <w:r w:rsidRPr="006A1A35">
        <w:rPr>
          <w:rFonts w:ascii="Calibri" w:hAnsi="Calibri"/>
        </w:rPr>
        <w:t>.</w:t>
      </w:r>
    </w:p>
    <w:p w14:paraId="024DE16D" w14:textId="523B7477" w:rsidR="006A1A35" w:rsidRPr="006A1A35" w:rsidRDefault="006A1A35" w:rsidP="006A1A35">
      <w:pPr>
        <w:spacing w:line="276" w:lineRule="auto"/>
        <w:jc w:val="both"/>
        <w:rPr>
          <w:rFonts w:ascii="Calibri" w:hAnsi="Calibri"/>
        </w:rPr>
      </w:pPr>
      <w:r w:rsidRPr="006A1A35">
        <w:rPr>
          <w:rFonts w:ascii="Calibri" w:hAnsi="Calibri"/>
        </w:rPr>
        <w:t xml:space="preserve">ŠIFRA </w:t>
      </w:r>
      <w:r w:rsidR="009378D8">
        <w:rPr>
          <w:rFonts w:ascii="Calibri" w:hAnsi="Calibri"/>
        </w:rPr>
        <w:t>Y005</w:t>
      </w:r>
      <w:r w:rsidRPr="006A1A35">
        <w:rPr>
          <w:rFonts w:ascii="Calibri" w:hAnsi="Calibri"/>
        </w:rPr>
        <w:t>-</w:t>
      </w:r>
      <w:r w:rsidR="009378D8">
        <w:rPr>
          <w:rFonts w:ascii="Calibri" w:hAnsi="Calibri"/>
        </w:rPr>
        <w:t>Y</w:t>
      </w:r>
      <w:r w:rsidRPr="006A1A35">
        <w:rPr>
          <w:rFonts w:ascii="Calibri" w:hAnsi="Calibri"/>
        </w:rPr>
        <w:t xml:space="preserve">006 </w:t>
      </w:r>
      <w:r w:rsidR="009378D8">
        <w:rPr>
          <w:rFonts w:ascii="Calibri" w:hAnsi="Calibri"/>
        </w:rPr>
        <w:t xml:space="preserve">Manjak prihoda i primitaka u 2023. godini iznosio je 396,80 eura, koliko je iznosio i </w:t>
      </w:r>
      <w:r w:rsidRPr="006A1A35">
        <w:rPr>
          <w:rFonts w:ascii="Calibri" w:hAnsi="Calibri"/>
        </w:rPr>
        <w:t>Višak prihoda i primitaka – preneseni</w:t>
      </w:r>
      <w:r w:rsidR="009378D8">
        <w:rPr>
          <w:rFonts w:ascii="Calibri" w:hAnsi="Calibri"/>
        </w:rPr>
        <w:t>. Stoga su višak prihoda i primitaka raspoloživ u sljedećem razdoblju i manjak prihoda i primitaka za pokriće u sljedećem razdoblju iznosili 0,00 eura. U 2024. godini, ostvaren je višak prihoda i primitaka raspoloživ u sljedećem razdoblju u iznosu od 1.268,63 eura.</w:t>
      </w:r>
      <w:r w:rsidRPr="006A1A35">
        <w:rPr>
          <w:rFonts w:ascii="Calibri" w:hAnsi="Calibri"/>
        </w:rPr>
        <w:t xml:space="preserve"> </w:t>
      </w:r>
    </w:p>
    <w:p w14:paraId="02D7BE5B" w14:textId="77777777" w:rsidR="00317651" w:rsidRDefault="00317651" w:rsidP="006A1A35">
      <w:pPr>
        <w:spacing w:line="276" w:lineRule="auto"/>
        <w:jc w:val="both"/>
        <w:rPr>
          <w:rFonts w:ascii="Calibri" w:hAnsi="Calibri"/>
        </w:rPr>
      </w:pPr>
    </w:p>
    <w:p w14:paraId="2683C0B3" w14:textId="53F35ED0" w:rsidR="006A1A35" w:rsidRDefault="006A1A35" w:rsidP="006A1A35">
      <w:pPr>
        <w:spacing w:line="276" w:lineRule="auto"/>
        <w:jc w:val="both"/>
        <w:rPr>
          <w:rFonts w:ascii="Calibri" w:hAnsi="Calibri"/>
        </w:rPr>
      </w:pPr>
      <w:r w:rsidRPr="006A1A35">
        <w:rPr>
          <w:rFonts w:ascii="Calibri" w:hAnsi="Calibri"/>
        </w:rPr>
        <w:t xml:space="preserve">Bilješka </w:t>
      </w:r>
      <w:r w:rsidR="00317651">
        <w:rPr>
          <w:rFonts w:ascii="Calibri" w:hAnsi="Calibri"/>
        </w:rPr>
        <w:t>19</w:t>
      </w:r>
      <w:r w:rsidRPr="006A1A35">
        <w:rPr>
          <w:rFonts w:ascii="Calibri" w:hAnsi="Calibri"/>
        </w:rPr>
        <w:t>.</w:t>
      </w:r>
    </w:p>
    <w:p w14:paraId="278465D3" w14:textId="4B312CDF" w:rsidR="006A1A35" w:rsidRPr="006A1A35" w:rsidRDefault="00317651" w:rsidP="006A1A35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ŠIFRA 11P-11K </w:t>
      </w:r>
      <w:r w:rsidR="006A1A35" w:rsidRPr="006A1A35">
        <w:rPr>
          <w:rFonts w:ascii="Calibri" w:hAnsi="Calibri"/>
        </w:rPr>
        <w:t xml:space="preserve">Stanje novčanih sredstava na </w:t>
      </w:r>
      <w:r>
        <w:rPr>
          <w:rFonts w:ascii="Calibri" w:hAnsi="Calibri"/>
        </w:rPr>
        <w:t>početku izvještajnog razdoblja</w:t>
      </w:r>
      <w:r w:rsidR="006A1A35" w:rsidRPr="006A1A35">
        <w:rPr>
          <w:rFonts w:ascii="Calibri" w:hAnsi="Calibri"/>
        </w:rPr>
        <w:t xml:space="preserve"> iznosi</w:t>
      </w:r>
      <w:r>
        <w:rPr>
          <w:rFonts w:ascii="Calibri" w:hAnsi="Calibri"/>
        </w:rPr>
        <w:t>lo je</w:t>
      </w:r>
      <w:r w:rsidR="006A1A35" w:rsidRPr="006A1A35">
        <w:rPr>
          <w:rFonts w:ascii="Calibri" w:hAnsi="Calibri"/>
        </w:rPr>
        <w:t xml:space="preserve"> </w:t>
      </w:r>
      <w:r>
        <w:rPr>
          <w:rFonts w:ascii="Calibri" w:hAnsi="Calibri"/>
        </w:rPr>
        <w:t>41.141,94</w:t>
      </w:r>
      <w:r w:rsidRPr="006A1A35">
        <w:rPr>
          <w:rFonts w:ascii="Calibri" w:hAnsi="Calibri"/>
        </w:rPr>
        <w:t xml:space="preserve"> </w:t>
      </w:r>
      <w:r w:rsidR="006A1A35" w:rsidRPr="006A1A35">
        <w:rPr>
          <w:rFonts w:ascii="Calibri" w:hAnsi="Calibri"/>
        </w:rPr>
        <w:t>eura</w:t>
      </w:r>
      <w:r>
        <w:rPr>
          <w:rFonts w:ascii="Calibri" w:hAnsi="Calibri"/>
        </w:rPr>
        <w:t>,</w:t>
      </w:r>
      <w:r w:rsidR="006A1A35" w:rsidRPr="006A1A35">
        <w:rPr>
          <w:rFonts w:ascii="Calibri" w:hAnsi="Calibri"/>
        </w:rPr>
        <w:t xml:space="preserve"> dok </w:t>
      </w:r>
      <w:r>
        <w:rPr>
          <w:rFonts w:ascii="Calibri" w:hAnsi="Calibri"/>
        </w:rPr>
        <w:t>na dan</w:t>
      </w:r>
      <w:r w:rsidR="006A1A35" w:rsidRPr="006A1A35">
        <w:rPr>
          <w:rFonts w:ascii="Calibri" w:hAnsi="Calibri"/>
        </w:rPr>
        <w:t xml:space="preserve"> 31.12.202</w:t>
      </w:r>
      <w:r>
        <w:rPr>
          <w:rFonts w:ascii="Calibri" w:hAnsi="Calibri"/>
        </w:rPr>
        <w:t>4</w:t>
      </w:r>
      <w:r w:rsidR="006A1A35" w:rsidRPr="006A1A35">
        <w:rPr>
          <w:rFonts w:ascii="Calibri" w:hAnsi="Calibri"/>
        </w:rPr>
        <w:t xml:space="preserve">. godine iznosi </w:t>
      </w:r>
      <w:r>
        <w:rPr>
          <w:rFonts w:ascii="Calibri" w:hAnsi="Calibri"/>
        </w:rPr>
        <w:t>63.484,26</w:t>
      </w:r>
      <w:r w:rsidR="006A1A35" w:rsidRPr="006A1A35">
        <w:rPr>
          <w:rFonts w:ascii="Calibri" w:hAnsi="Calibri"/>
        </w:rPr>
        <w:t xml:space="preserve"> eura</w:t>
      </w:r>
      <w:r>
        <w:rPr>
          <w:rFonts w:ascii="Calibri" w:hAnsi="Calibri"/>
        </w:rPr>
        <w:t>.</w:t>
      </w:r>
      <w:r w:rsidR="006A1A35" w:rsidRPr="006A1A35">
        <w:rPr>
          <w:rFonts w:ascii="Calibri" w:hAnsi="Calibri"/>
        </w:rPr>
        <w:t xml:space="preserve"> Stanje novčanih sredstava sastoji se od neutrošenih sredstava </w:t>
      </w:r>
      <w:r>
        <w:rPr>
          <w:rFonts w:ascii="Calibri" w:hAnsi="Calibri"/>
        </w:rPr>
        <w:t xml:space="preserve">prihoda iz proračuna Grada Virovitice te vlastitih prihoda. </w:t>
      </w:r>
    </w:p>
    <w:p w14:paraId="1D431E7B" w14:textId="77777777" w:rsidR="006A1A35" w:rsidRPr="006A1A35" w:rsidRDefault="006A1A35" w:rsidP="006A1A35">
      <w:pPr>
        <w:spacing w:line="276" w:lineRule="auto"/>
        <w:jc w:val="both"/>
        <w:rPr>
          <w:rFonts w:ascii="Calibri" w:hAnsi="Calibri"/>
        </w:rPr>
      </w:pPr>
    </w:p>
    <w:p w14:paraId="32F50B75" w14:textId="6EF55535" w:rsidR="006A1A35" w:rsidRPr="006A1A35" w:rsidRDefault="006A1A35" w:rsidP="006A1A35">
      <w:pPr>
        <w:spacing w:line="276" w:lineRule="auto"/>
        <w:jc w:val="both"/>
        <w:rPr>
          <w:rFonts w:ascii="Calibri" w:hAnsi="Calibri"/>
        </w:rPr>
      </w:pPr>
      <w:r w:rsidRPr="006A1A35">
        <w:rPr>
          <w:rFonts w:ascii="Calibri" w:hAnsi="Calibri"/>
        </w:rPr>
        <w:t xml:space="preserve">Bilješka </w:t>
      </w:r>
      <w:r w:rsidR="00D30D6C">
        <w:rPr>
          <w:rFonts w:ascii="Calibri" w:hAnsi="Calibri"/>
        </w:rPr>
        <w:t>20</w:t>
      </w:r>
      <w:r w:rsidRPr="006A1A35">
        <w:rPr>
          <w:rFonts w:ascii="Calibri" w:hAnsi="Calibri"/>
        </w:rPr>
        <w:t>.</w:t>
      </w:r>
    </w:p>
    <w:p w14:paraId="7DC558DF" w14:textId="0FCA6607" w:rsidR="006A1A35" w:rsidRPr="006A1A35" w:rsidRDefault="006A1A35" w:rsidP="006A1A35">
      <w:pPr>
        <w:spacing w:line="276" w:lineRule="auto"/>
        <w:jc w:val="both"/>
        <w:rPr>
          <w:rFonts w:ascii="Calibri" w:hAnsi="Calibri"/>
        </w:rPr>
      </w:pPr>
      <w:r w:rsidRPr="006A1A35">
        <w:rPr>
          <w:rFonts w:ascii="Calibri" w:hAnsi="Calibri"/>
        </w:rPr>
        <w:t xml:space="preserve">Prosječan broj zaposlenih </w:t>
      </w:r>
      <w:r w:rsidR="00D30D6C">
        <w:rPr>
          <w:rFonts w:ascii="Calibri" w:hAnsi="Calibri"/>
        </w:rPr>
        <w:t>kod korisnika</w:t>
      </w:r>
      <w:r w:rsidRPr="006A1A35">
        <w:rPr>
          <w:rFonts w:ascii="Calibri" w:hAnsi="Calibri"/>
        </w:rPr>
        <w:t xml:space="preserve"> </w:t>
      </w:r>
      <w:r w:rsidR="00D30D6C">
        <w:rPr>
          <w:rFonts w:ascii="Calibri" w:hAnsi="Calibri"/>
        </w:rPr>
        <w:t>na osnovi stanja na početku i na kraju izvještajnog razdoblja i u prethodnom i u promatranom razdoblju bio je 19.</w:t>
      </w:r>
    </w:p>
    <w:p w14:paraId="4A6D9390" w14:textId="77777777" w:rsidR="006A1A35" w:rsidRDefault="006A1A35" w:rsidP="00653017">
      <w:pPr>
        <w:spacing w:line="276" w:lineRule="auto"/>
        <w:jc w:val="both"/>
        <w:rPr>
          <w:rFonts w:ascii="Calibri" w:hAnsi="Calibri"/>
        </w:rPr>
      </w:pPr>
    </w:p>
    <w:p w14:paraId="48B1B983" w14:textId="77777777" w:rsidR="00C659EA" w:rsidRDefault="00C659EA" w:rsidP="00C659EA">
      <w:pPr>
        <w:spacing w:line="276" w:lineRule="auto"/>
        <w:ind w:firstLine="708"/>
        <w:jc w:val="both"/>
        <w:rPr>
          <w:rFonts w:ascii="Calibri" w:hAnsi="Calibri"/>
        </w:rPr>
      </w:pPr>
    </w:p>
    <w:p w14:paraId="6526BC1E" w14:textId="2F3C4926" w:rsidR="00C659EA" w:rsidRPr="00184701" w:rsidRDefault="00C659EA" w:rsidP="00C659EA">
      <w:pPr>
        <w:spacing w:line="276" w:lineRule="auto"/>
        <w:jc w:val="both"/>
        <w:rPr>
          <w:rFonts w:ascii="Calibri" w:hAnsi="Calibri"/>
          <w:b/>
          <w:bCs/>
        </w:rPr>
      </w:pPr>
      <w:r w:rsidRPr="00184701">
        <w:rPr>
          <w:rFonts w:ascii="Calibri" w:hAnsi="Calibri"/>
          <w:b/>
          <w:bCs/>
        </w:rPr>
        <w:lastRenderedPageBreak/>
        <w:t>2</w:t>
      </w:r>
      <w:r w:rsidRPr="00184701">
        <w:rPr>
          <w:rFonts w:ascii="Calibri" w:hAnsi="Calibri"/>
          <w:b/>
          <w:bCs/>
        </w:rPr>
        <w:t>. IZVJEŠTAJ O PROMJENAMA U VRIJEDNOSTI I OBUJMU IMOVINE I OBVEZA</w:t>
      </w:r>
    </w:p>
    <w:p w14:paraId="1A0BA976" w14:textId="77777777" w:rsidR="00C659EA" w:rsidRDefault="00C659EA" w:rsidP="00C659EA">
      <w:pPr>
        <w:spacing w:line="276" w:lineRule="auto"/>
        <w:jc w:val="both"/>
        <w:rPr>
          <w:rFonts w:ascii="Calibri" w:hAnsi="Calibri"/>
          <w:b/>
          <w:bCs/>
          <w:u w:val="single"/>
        </w:rPr>
      </w:pPr>
    </w:p>
    <w:p w14:paraId="4E00E328" w14:textId="761D2C6C" w:rsidR="00184701" w:rsidRPr="00184701" w:rsidRDefault="00184701" w:rsidP="00C659EA">
      <w:pPr>
        <w:spacing w:line="276" w:lineRule="auto"/>
        <w:jc w:val="both"/>
        <w:rPr>
          <w:rFonts w:ascii="Calibri" w:hAnsi="Calibri"/>
        </w:rPr>
      </w:pPr>
      <w:r w:rsidRPr="00184701">
        <w:rPr>
          <w:rFonts w:ascii="Calibri" w:hAnsi="Calibri"/>
        </w:rPr>
        <w:t>U Obrascu P-VRIO iskazuju se sve promjene u vrijednosti i obujmu imovine i obveza, koje su utjecale na smanjenje ili povećanje imovine i obveza. Evidentiraju se na odgovarajućim računima imovine i obveza, a u korist ili na teret računa u podskupini 915.</w:t>
      </w:r>
    </w:p>
    <w:p w14:paraId="46BF9036" w14:textId="77777777" w:rsidR="00184701" w:rsidRDefault="00184701" w:rsidP="00C659EA">
      <w:pPr>
        <w:spacing w:line="276" w:lineRule="auto"/>
        <w:jc w:val="both"/>
        <w:rPr>
          <w:rFonts w:ascii="Calibri" w:hAnsi="Calibri"/>
          <w:b/>
          <w:bCs/>
          <w:u w:val="single"/>
        </w:rPr>
      </w:pPr>
    </w:p>
    <w:p w14:paraId="4C70D02F" w14:textId="747C3BB0" w:rsidR="00C659EA" w:rsidRPr="00184701" w:rsidRDefault="00184701" w:rsidP="00C659EA">
      <w:pPr>
        <w:spacing w:line="276" w:lineRule="auto"/>
        <w:jc w:val="both"/>
        <w:rPr>
          <w:rFonts w:ascii="Calibri" w:hAnsi="Calibri"/>
        </w:rPr>
      </w:pPr>
      <w:r w:rsidRPr="00184701">
        <w:rPr>
          <w:rFonts w:ascii="Calibri" w:hAnsi="Calibri"/>
        </w:rPr>
        <w:t>Bilješka 1.</w:t>
      </w:r>
    </w:p>
    <w:p w14:paraId="630B79F2" w14:textId="77777777" w:rsidR="00184701" w:rsidRDefault="00184701" w:rsidP="00C659EA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ŠIFRA 9151 </w:t>
      </w:r>
      <w:r w:rsidR="00C659EA" w:rsidRPr="00540506">
        <w:rPr>
          <w:rFonts w:ascii="Calibri" w:hAnsi="Calibri"/>
        </w:rPr>
        <w:t xml:space="preserve">Promjene u </w:t>
      </w:r>
      <w:r>
        <w:rPr>
          <w:rFonts w:ascii="Calibri" w:hAnsi="Calibri"/>
        </w:rPr>
        <w:t xml:space="preserve">vrijednosti i </w:t>
      </w:r>
      <w:r w:rsidR="00C659EA" w:rsidRPr="00540506">
        <w:rPr>
          <w:rFonts w:ascii="Calibri" w:hAnsi="Calibri"/>
        </w:rPr>
        <w:t xml:space="preserve">obujmu imovine </w:t>
      </w:r>
      <w:r w:rsidR="00C659EA">
        <w:rPr>
          <w:rFonts w:ascii="Calibri" w:hAnsi="Calibri"/>
        </w:rPr>
        <w:t xml:space="preserve">bilježe smanjenje od </w:t>
      </w:r>
      <w:r>
        <w:rPr>
          <w:rFonts w:ascii="Calibri" w:hAnsi="Calibri"/>
        </w:rPr>
        <w:t xml:space="preserve">77,98 </w:t>
      </w:r>
      <w:r w:rsidR="00C659EA">
        <w:rPr>
          <w:rFonts w:ascii="Calibri" w:hAnsi="Calibri"/>
        </w:rPr>
        <w:t xml:space="preserve">eura. </w:t>
      </w:r>
    </w:p>
    <w:p w14:paraId="4BE52DEB" w14:textId="77777777" w:rsidR="00184701" w:rsidRDefault="00184701" w:rsidP="00C659EA">
      <w:pPr>
        <w:spacing w:line="276" w:lineRule="auto"/>
        <w:jc w:val="both"/>
        <w:rPr>
          <w:rFonts w:ascii="Calibri" w:hAnsi="Calibri"/>
        </w:rPr>
      </w:pPr>
    </w:p>
    <w:p w14:paraId="64A9D810" w14:textId="60620F53" w:rsidR="00C659EA" w:rsidRDefault="00184701" w:rsidP="00C659EA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P018 Proizvedena dugotrajna imovina smanjuje se za isti iznos (77,98 eura), a</w:t>
      </w:r>
      <w:r w:rsidR="00C659EA" w:rsidRPr="00540506">
        <w:rPr>
          <w:rFonts w:ascii="Calibri" w:hAnsi="Calibri"/>
        </w:rPr>
        <w:t xml:space="preserve"> zbog </w:t>
      </w:r>
      <w:proofErr w:type="spellStart"/>
      <w:r w:rsidR="001C3D95">
        <w:rPr>
          <w:rFonts w:ascii="Calibri" w:hAnsi="Calibri"/>
        </w:rPr>
        <w:t>isknjiženja</w:t>
      </w:r>
      <w:proofErr w:type="spellEnd"/>
      <w:r w:rsidR="001C3D95">
        <w:rPr>
          <w:rFonts w:ascii="Calibri" w:hAnsi="Calibri"/>
        </w:rPr>
        <w:t xml:space="preserve"> iz imovine 4 neupotrebljive i dotrajale uredske stolice </w:t>
      </w:r>
      <w:r w:rsidR="00C659EA" w:rsidRPr="00540506">
        <w:rPr>
          <w:rFonts w:ascii="Calibri" w:hAnsi="Calibri"/>
        </w:rPr>
        <w:t>temeljem Odluke</w:t>
      </w:r>
      <w:r w:rsidR="00C659EA">
        <w:rPr>
          <w:rFonts w:ascii="Calibri" w:hAnsi="Calibri"/>
        </w:rPr>
        <w:t xml:space="preserve"> o rashodovanju i </w:t>
      </w:r>
      <w:proofErr w:type="spellStart"/>
      <w:r w:rsidR="00C659EA">
        <w:rPr>
          <w:rFonts w:ascii="Calibri" w:hAnsi="Calibri"/>
        </w:rPr>
        <w:t>isknjiženju</w:t>
      </w:r>
      <w:proofErr w:type="spellEnd"/>
      <w:r w:rsidR="00C659EA">
        <w:rPr>
          <w:rFonts w:ascii="Calibri" w:hAnsi="Calibri"/>
        </w:rPr>
        <w:t xml:space="preserve"> uredskog namještaja u 2024. godini.</w:t>
      </w:r>
    </w:p>
    <w:p w14:paraId="29E18B7F" w14:textId="77777777" w:rsidR="00CA7B7D" w:rsidRDefault="00CA7B7D" w:rsidP="00CA7B7D">
      <w:pPr>
        <w:spacing w:line="276" w:lineRule="auto"/>
        <w:jc w:val="both"/>
        <w:rPr>
          <w:rFonts w:asciiTheme="minorHAnsi" w:hAnsiTheme="minorHAnsi" w:cstheme="minorHAnsi"/>
        </w:rPr>
      </w:pPr>
    </w:p>
    <w:p w14:paraId="78ECDB10" w14:textId="77777777" w:rsidR="001C3D95" w:rsidRDefault="001C3D95" w:rsidP="00CA7B7D">
      <w:pPr>
        <w:spacing w:line="276" w:lineRule="auto"/>
        <w:jc w:val="both"/>
        <w:rPr>
          <w:rFonts w:asciiTheme="minorHAnsi" w:hAnsiTheme="minorHAnsi" w:cstheme="minorHAnsi"/>
        </w:rPr>
      </w:pPr>
    </w:p>
    <w:p w14:paraId="69711A3D" w14:textId="77777777" w:rsidR="001C3D95" w:rsidRPr="00355D45" w:rsidRDefault="001C3D95" w:rsidP="00CA7B7D">
      <w:pPr>
        <w:spacing w:line="276" w:lineRule="auto"/>
        <w:jc w:val="both"/>
        <w:rPr>
          <w:rFonts w:asciiTheme="minorHAnsi" w:hAnsiTheme="minorHAnsi" w:cstheme="minorHAnsi"/>
        </w:rPr>
      </w:pPr>
    </w:p>
    <w:p w14:paraId="54B452B1" w14:textId="677F56F6" w:rsidR="00CA7B7D" w:rsidRDefault="001C3D95" w:rsidP="00B65B9E">
      <w:pPr>
        <w:spacing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3. IZVJEŠTAJ BILANCA</w:t>
      </w:r>
    </w:p>
    <w:p w14:paraId="1543A9D0" w14:textId="77777777" w:rsidR="007F25F5" w:rsidRDefault="007F25F5" w:rsidP="00B65B9E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528C159E" w14:textId="77777777" w:rsidR="007F25F5" w:rsidRPr="007F25F5" w:rsidRDefault="007F25F5" w:rsidP="007F25F5">
      <w:pPr>
        <w:spacing w:line="276" w:lineRule="auto"/>
        <w:jc w:val="both"/>
        <w:rPr>
          <w:rFonts w:asciiTheme="minorHAnsi" w:hAnsiTheme="minorHAnsi"/>
        </w:rPr>
      </w:pPr>
      <w:r w:rsidRPr="007F25F5">
        <w:rPr>
          <w:rFonts w:asciiTheme="minorHAnsi" w:hAnsiTheme="minorHAnsi"/>
        </w:rPr>
        <w:t>Bilješka 1.</w:t>
      </w:r>
    </w:p>
    <w:p w14:paraId="63264130" w14:textId="4E81DABB" w:rsidR="007F25F5" w:rsidRPr="007F25F5" w:rsidRDefault="007F25F5" w:rsidP="007F25F5">
      <w:pPr>
        <w:spacing w:line="276" w:lineRule="auto"/>
        <w:jc w:val="both"/>
        <w:rPr>
          <w:rFonts w:asciiTheme="minorHAnsi" w:hAnsiTheme="minorHAnsi"/>
        </w:rPr>
      </w:pPr>
      <w:r w:rsidRPr="007F25F5">
        <w:rPr>
          <w:rFonts w:asciiTheme="minorHAnsi" w:hAnsiTheme="minorHAnsi"/>
        </w:rPr>
        <w:t>ŠIFRA 022</w:t>
      </w:r>
      <w:r>
        <w:rPr>
          <w:rFonts w:asciiTheme="minorHAnsi" w:hAnsiTheme="minorHAnsi"/>
        </w:rPr>
        <w:t>1 Uredska oprema i namještaj</w:t>
      </w:r>
      <w:r w:rsidRPr="007F25F5">
        <w:rPr>
          <w:rFonts w:asciiTheme="minorHAnsi" w:hAnsiTheme="minorHAnsi"/>
        </w:rPr>
        <w:t xml:space="preserve"> povećava se za 13</w:t>
      </w:r>
      <w:r>
        <w:rPr>
          <w:rFonts w:asciiTheme="minorHAnsi" w:hAnsiTheme="minorHAnsi"/>
        </w:rPr>
        <w:t>,3</w:t>
      </w:r>
      <w:r w:rsidRPr="007F25F5">
        <w:rPr>
          <w:rFonts w:asciiTheme="minorHAnsi" w:hAnsiTheme="minorHAnsi"/>
        </w:rPr>
        <w:t xml:space="preserve">% u iznosu od </w:t>
      </w:r>
      <w:r>
        <w:rPr>
          <w:rFonts w:asciiTheme="minorHAnsi" w:hAnsiTheme="minorHAnsi"/>
        </w:rPr>
        <w:t>4.302,64</w:t>
      </w:r>
      <w:r w:rsidRPr="007F25F5">
        <w:rPr>
          <w:rFonts w:asciiTheme="minorHAnsi" w:hAnsiTheme="minorHAnsi"/>
        </w:rPr>
        <w:t xml:space="preserve"> eura. </w:t>
      </w:r>
      <w:r>
        <w:rPr>
          <w:rFonts w:asciiTheme="minorHAnsi" w:hAnsiTheme="minorHAnsi"/>
        </w:rPr>
        <w:t>N</w:t>
      </w:r>
      <w:r>
        <w:rPr>
          <w:rFonts w:ascii="Calibri" w:hAnsi="Calibri"/>
        </w:rPr>
        <w:t xml:space="preserve">abavljeno je 2 nova prijenosna računala, 12 monitora </w:t>
      </w:r>
      <w:r>
        <w:rPr>
          <w:rFonts w:ascii="Calibri" w:hAnsi="Calibri"/>
        </w:rPr>
        <w:t>te</w:t>
      </w:r>
      <w:r>
        <w:rPr>
          <w:rFonts w:ascii="Calibri" w:hAnsi="Calibri"/>
        </w:rPr>
        <w:t xml:space="preserve"> 3 uredske stolice</w:t>
      </w:r>
      <w:r>
        <w:rPr>
          <w:rFonts w:ascii="Calibri" w:hAnsi="Calibri"/>
        </w:rPr>
        <w:t xml:space="preserve"> za potrebe svakodnevnog rada zaposlenika.</w:t>
      </w:r>
    </w:p>
    <w:p w14:paraId="4D9FB2C4" w14:textId="77777777" w:rsidR="007F25F5" w:rsidRPr="007F25F5" w:rsidRDefault="007F25F5" w:rsidP="007F25F5">
      <w:pPr>
        <w:spacing w:line="276" w:lineRule="auto"/>
        <w:jc w:val="both"/>
        <w:rPr>
          <w:rFonts w:asciiTheme="minorHAnsi" w:hAnsiTheme="minorHAnsi"/>
        </w:rPr>
      </w:pPr>
    </w:p>
    <w:p w14:paraId="0299EB5D" w14:textId="77777777" w:rsidR="007F25F5" w:rsidRPr="007F25F5" w:rsidRDefault="007F25F5" w:rsidP="007F25F5">
      <w:pPr>
        <w:spacing w:line="276" w:lineRule="auto"/>
        <w:jc w:val="both"/>
        <w:rPr>
          <w:rFonts w:asciiTheme="minorHAnsi" w:hAnsiTheme="minorHAnsi"/>
        </w:rPr>
      </w:pPr>
      <w:r w:rsidRPr="007F25F5">
        <w:rPr>
          <w:rFonts w:asciiTheme="minorHAnsi" w:hAnsiTheme="minorHAnsi"/>
        </w:rPr>
        <w:t>Bilješka 2.</w:t>
      </w:r>
    </w:p>
    <w:p w14:paraId="65E70050" w14:textId="4021865E" w:rsidR="007F25F5" w:rsidRPr="007F25F5" w:rsidRDefault="007F25F5" w:rsidP="007F25F5">
      <w:pPr>
        <w:spacing w:line="276" w:lineRule="auto"/>
        <w:jc w:val="both"/>
        <w:rPr>
          <w:rFonts w:asciiTheme="minorHAnsi" w:hAnsiTheme="minorHAnsi"/>
        </w:rPr>
      </w:pPr>
      <w:r w:rsidRPr="007F25F5">
        <w:rPr>
          <w:rFonts w:asciiTheme="minorHAnsi" w:hAnsiTheme="minorHAnsi"/>
        </w:rPr>
        <w:t xml:space="preserve">ŠIFRA 02922 Povećava se ispravak vrijednosti postrojenja i opreme za </w:t>
      </w:r>
      <w:r>
        <w:rPr>
          <w:rFonts w:asciiTheme="minorHAnsi" w:hAnsiTheme="minorHAnsi"/>
        </w:rPr>
        <w:t>11,4</w:t>
      </w:r>
      <w:r w:rsidRPr="007F25F5">
        <w:rPr>
          <w:rFonts w:asciiTheme="minorHAnsi" w:hAnsiTheme="minorHAnsi"/>
        </w:rPr>
        <w:t xml:space="preserve">% u iznosu od </w:t>
      </w:r>
      <w:r>
        <w:rPr>
          <w:rFonts w:asciiTheme="minorHAnsi" w:hAnsiTheme="minorHAnsi"/>
        </w:rPr>
        <w:t>3.169,44</w:t>
      </w:r>
      <w:r w:rsidRPr="007F25F5">
        <w:rPr>
          <w:rFonts w:asciiTheme="minorHAnsi" w:hAnsiTheme="minorHAnsi"/>
        </w:rPr>
        <w:t xml:space="preserve"> eura za obračun amortizacije 202</w:t>
      </w:r>
      <w:r>
        <w:rPr>
          <w:rFonts w:asciiTheme="minorHAnsi" w:hAnsiTheme="minorHAnsi"/>
        </w:rPr>
        <w:t>4</w:t>
      </w:r>
      <w:r w:rsidRPr="007F25F5">
        <w:rPr>
          <w:rFonts w:asciiTheme="minorHAnsi" w:hAnsiTheme="minorHAnsi"/>
        </w:rPr>
        <w:t>. godine.</w:t>
      </w:r>
    </w:p>
    <w:p w14:paraId="6A03D960" w14:textId="77777777" w:rsidR="007F25F5" w:rsidRPr="007F25F5" w:rsidRDefault="007F25F5" w:rsidP="007F25F5">
      <w:pPr>
        <w:spacing w:line="276" w:lineRule="auto"/>
        <w:jc w:val="both"/>
        <w:rPr>
          <w:rFonts w:asciiTheme="minorHAnsi" w:hAnsiTheme="minorHAnsi"/>
        </w:rPr>
      </w:pPr>
    </w:p>
    <w:p w14:paraId="30B72054" w14:textId="77777777" w:rsidR="007F25F5" w:rsidRPr="007F25F5" w:rsidRDefault="007F25F5" w:rsidP="007F25F5">
      <w:pPr>
        <w:spacing w:line="276" w:lineRule="auto"/>
        <w:jc w:val="both"/>
        <w:rPr>
          <w:rFonts w:asciiTheme="minorHAnsi" w:hAnsiTheme="minorHAnsi"/>
        </w:rPr>
      </w:pPr>
      <w:r w:rsidRPr="007F25F5">
        <w:rPr>
          <w:rFonts w:asciiTheme="minorHAnsi" w:hAnsiTheme="minorHAnsi"/>
        </w:rPr>
        <w:t>Bilješka 3.</w:t>
      </w:r>
    </w:p>
    <w:p w14:paraId="7C5FF1EE" w14:textId="034614E3" w:rsidR="007F25F5" w:rsidRPr="007F25F5" w:rsidRDefault="007F25F5" w:rsidP="007F25F5">
      <w:pPr>
        <w:spacing w:line="276" w:lineRule="auto"/>
        <w:jc w:val="both"/>
        <w:rPr>
          <w:rFonts w:asciiTheme="minorHAnsi" w:hAnsiTheme="minorHAnsi"/>
        </w:rPr>
      </w:pPr>
      <w:r w:rsidRPr="007F25F5">
        <w:rPr>
          <w:rFonts w:asciiTheme="minorHAnsi" w:hAnsiTheme="minorHAnsi"/>
        </w:rPr>
        <w:t xml:space="preserve">ŠIFRA 02923 Povećava se ispravak vrijednosti prijevoznih sredstava za </w:t>
      </w:r>
      <w:r>
        <w:rPr>
          <w:rFonts w:asciiTheme="minorHAnsi" w:hAnsiTheme="minorHAnsi"/>
        </w:rPr>
        <w:t>3.357,89</w:t>
      </w:r>
      <w:r w:rsidRPr="007F25F5">
        <w:rPr>
          <w:rFonts w:asciiTheme="minorHAnsi" w:hAnsiTheme="minorHAnsi"/>
        </w:rPr>
        <w:t xml:space="preserve"> eura za obračun amortizacije 202</w:t>
      </w:r>
      <w:r>
        <w:rPr>
          <w:rFonts w:asciiTheme="minorHAnsi" w:hAnsiTheme="minorHAnsi"/>
        </w:rPr>
        <w:t>4</w:t>
      </w:r>
      <w:r w:rsidRPr="007F25F5">
        <w:rPr>
          <w:rFonts w:asciiTheme="minorHAnsi" w:hAnsiTheme="minorHAnsi"/>
        </w:rPr>
        <w:t>. godine.</w:t>
      </w:r>
    </w:p>
    <w:p w14:paraId="07D1393E" w14:textId="77777777" w:rsidR="007F25F5" w:rsidRPr="007F25F5" w:rsidRDefault="007F25F5" w:rsidP="007F25F5">
      <w:pPr>
        <w:spacing w:line="276" w:lineRule="auto"/>
        <w:jc w:val="both"/>
        <w:rPr>
          <w:rFonts w:asciiTheme="minorHAnsi" w:hAnsiTheme="minorHAnsi"/>
        </w:rPr>
      </w:pPr>
    </w:p>
    <w:p w14:paraId="7E79C466" w14:textId="51BA64B9" w:rsidR="007F25F5" w:rsidRPr="007F25F5" w:rsidRDefault="007F25F5" w:rsidP="007F25F5">
      <w:pPr>
        <w:spacing w:line="276" w:lineRule="auto"/>
        <w:jc w:val="both"/>
        <w:rPr>
          <w:rFonts w:asciiTheme="minorHAnsi" w:hAnsiTheme="minorHAnsi"/>
        </w:rPr>
      </w:pPr>
      <w:r w:rsidRPr="007F25F5">
        <w:rPr>
          <w:rFonts w:asciiTheme="minorHAnsi" w:hAnsiTheme="minorHAnsi"/>
        </w:rPr>
        <w:t xml:space="preserve">Bilješka </w:t>
      </w:r>
      <w:r w:rsidR="00C24F9E">
        <w:rPr>
          <w:rFonts w:asciiTheme="minorHAnsi" w:hAnsiTheme="minorHAnsi"/>
        </w:rPr>
        <w:t>4</w:t>
      </w:r>
      <w:r w:rsidRPr="007F25F5">
        <w:rPr>
          <w:rFonts w:asciiTheme="minorHAnsi" w:hAnsiTheme="minorHAnsi"/>
        </w:rPr>
        <w:t>.</w:t>
      </w:r>
    </w:p>
    <w:p w14:paraId="207066B5" w14:textId="36E2A825" w:rsidR="007F25F5" w:rsidRPr="007F25F5" w:rsidRDefault="007F25F5" w:rsidP="007F25F5">
      <w:pPr>
        <w:spacing w:line="276" w:lineRule="auto"/>
        <w:jc w:val="both"/>
        <w:rPr>
          <w:rFonts w:asciiTheme="minorHAnsi" w:hAnsiTheme="minorHAnsi"/>
        </w:rPr>
      </w:pPr>
      <w:r w:rsidRPr="007F25F5">
        <w:rPr>
          <w:rFonts w:asciiTheme="minorHAnsi" w:hAnsiTheme="minorHAnsi"/>
        </w:rPr>
        <w:t xml:space="preserve">ŠIFRA 042 Povećava se sitni inventar i auto gume u upotrebi za </w:t>
      </w:r>
      <w:r w:rsidR="00C24F9E">
        <w:rPr>
          <w:rFonts w:asciiTheme="minorHAnsi" w:hAnsiTheme="minorHAnsi"/>
        </w:rPr>
        <w:t>4,8</w:t>
      </w:r>
      <w:r w:rsidRPr="007F25F5">
        <w:rPr>
          <w:rFonts w:asciiTheme="minorHAnsi" w:hAnsiTheme="minorHAnsi"/>
        </w:rPr>
        <w:t xml:space="preserve">%. odnosno za </w:t>
      </w:r>
      <w:r w:rsidR="00C24F9E">
        <w:rPr>
          <w:rFonts w:asciiTheme="minorHAnsi" w:hAnsiTheme="minorHAnsi"/>
        </w:rPr>
        <w:t>182,85</w:t>
      </w:r>
      <w:r w:rsidRPr="007F25F5">
        <w:rPr>
          <w:rFonts w:asciiTheme="minorHAnsi" w:hAnsiTheme="minorHAnsi"/>
        </w:rPr>
        <w:t xml:space="preserve"> eura i iznosi </w:t>
      </w:r>
      <w:r w:rsidR="00C24F9E">
        <w:rPr>
          <w:rFonts w:asciiTheme="minorHAnsi" w:hAnsiTheme="minorHAnsi"/>
        </w:rPr>
        <w:t>3.984,87</w:t>
      </w:r>
      <w:r w:rsidRPr="007F25F5">
        <w:rPr>
          <w:rFonts w:asciiTheme="minorHAnsi" w:hAnsiTheme="minorHAnsi"/>
        </w:rPr>
        <w:t xml:space="preserve"> eura. Odnosi se na </w:t>
      </w:r>
      <w:r w:rsidR="00C24F9E">
        <w:rPr>
          <w:rFonts w:asciiTheme="minorHAnsi" w:hAnsiTheme="minorHAnsi"/>
        </w:rPr>
        <w:t>nabavljene tastature, miševe, klamerice, mrežne adaptere i slično.</w:t>
      </w:r>
    </w:p>
    <w:p w14:paraId="1320E5BA" w14:textId="77777777" w:rsidR="007F25F5" w:rsidRPr="007F25F5" w:rsidRDefault="007F25F5" w:rsidP="007F25F5">
      <w:pPr>
        <w:spacing w:line="276" w:lineRule="auto"/>
        <w:jc w:val="both"/>
        <w:rPr>
          <w:rFonts w:asciiTheme="minorHAnsi" w:hAnsiTheme="minorHAnsi"/>
        </w:rPr>
      </w:pPr>
    </w:p>
    <w:p w14:paraId="7019DE58" w14:textId="2B225D36" w:rsidR="007F25F5" w:rsidRPr="007F25F5" w:rsidRDefault="007F25F5" w:rsidP="007F25F5">
      <w:pPr>
        <w:spacing w:line="276" w:lineRule="auto"/>
        <w:jc w:val="both"/>
        <w:rPr>
          <w:rFonts w:asciiTheme="minorHAnsi" w:hAnsiTheme="minorHAnsi"/>
        </w:rPr>
      </w:pPr>
      <w:r w:rsidRPr="007F25F5">
        <w:rPr>
          <w:rFonts w:asciiTheme="minorHAnsi" w:hAnsiTheme="minorHAnsi"/>
        </w:rPr>
        <w:t xml:space="preserve">Bilješka </w:t>
      </w:r>
      <w:r w:rsidR="00C24F9E">
        <w:rPr>
          <w:rFonts w:asciiTheme="minorHAnsi" w:hAnsiTheme="minorHAnsi"/>
        </w:rPr>
        <w:t>5</w:t>
      </w:r>
      <w:r w:rsidRPr="007F25F5">
        <w:rPr>
          <w:rFonts w:asciiTheme="minorHAnsi" w:hAnsiTheme="minorHAnsi"/>
        </w:rPr>
        <w:t>.</w:t>
      </w:r>
    </w:p>
    <w:p w14:paraId="2B73C4A4" w14:textId="0C0832BC" w:rsidR="007F25F5" w:rsidRDefault="007F25F5" w:rsidP="007F25F5">
      <w:pPr>
        <w:spacing w:line="276" w:lineRule="auto"/>
        <w:jc w:val="both"/>
        <w:rPr>
          <w:rFonts w:asciiTheme="minorHAnsi" w:hAnsiTheme="minorHAnsi"/>
        </w:rPr>
      </w:pPr>
      <w:r w:rsidRPr="007F25F5">
        <w:rPr>
          <w:rFonts w:asciiTheme="minorHAnsi" w:hAnsiTheme="minorHAnsi"/>
        </w:rPr>
        <w:t xml:space="preserve">ŠIFRA 049 </w:t>
      </w:r>
      <w:r w:rsidR="00C24F9E">
        <w:rPr>
          <w:rFonts w:asciiTheme="minorHAnsi" w:hAnsiTheme="minorHAnsi"/>
        </w:rPr>
        <w:t>Sukladno povećanju sitnog inventara, p</w:t>
      </w:r>
      <w:r w:rsidRPr="007F25F5">
        <w:rPr>
          <w:rFonts w:asciiTheme="minorHAnsi" w:hAnsiTheme="minorHAnsi"/>
        </w:rPr>
        <w:t>ovećava se</w:t>
      </w:r>
      <w:r w:rsidR="00C24F9E">
        <w:rPr>
          <w:rFonts w:asciiTheme="minorHAnsi" w:hAnsiTheme="minorHAnsi"/>
        </w:rPr>
        <w:t xml:space="preserve"> i</w:t>
      </w:r>
      <w:r w:rsidRPr="007F25F5">
        <w:rPr>
          <w:rFonts w:asciiTheme="minorHAnsi" w:hAnsiTheme="minorHAnsi"/>
        </w:rPr>
        <w:t xml:space="preserve"> ispravak vrijednosti sitnog inventara </w:t>
      </w:r>
      <w:r w:rsidR="00C24F9E">
        <w:rPr>
          <w:rFonts w:asciiTheme="minorHAnsi" w:hAnsiTheme="minorHAnsi"/>
        </w:rPr>
        <w:t>za isti iznos (182,85 eura).</w:t>
      </w:r>
    </w:p>
    <w:p w14:paraId="1640AAF5" w14:textId="77777777" w:rsidR="000D6973" w:rsidRDefault="000D6973" w:rsidP="007F25F5">
      <w:pPr>
        <w:spacing w:line="276" w:lineRule="auto"/>
        <w:jc w:val="both"/>
        <w:rPr>
          <w:rFonts w:asciiTheme="minorHAnsi" w:hAnsiTheme="minorHAnsi"/>
        </w:rPr>
      </w:pPr>
    </w:p>
    <w:p w14:paraId="08BAFC24" w14:textId="63A8817F" w:rsidR="000D6973" w:rsidRPr="000D6973" w:rsidRDefault="000D6973" w:rsidP="000D6973">
      <w:pPr>
        <w:spacing w:line="276" w:lineRule="auto"/>
        <w:jc w:val="both"/>
        <w:rPr>
          <w:rFonts w:asciiTheme="minorHAnsi" w:hAnsiTheme="minorHAnsi"/>
        </w:rPr>
      </w:pPr>
      <w:r w:rsidRPr="000D6973">
        <w:rPr>
          <w:rFonts w:asciiTheme="minorHAnsi" w:hAnsiTheme="minorHAnsi"/>
        </w:rPr>
        <w:lastRenderedPageBreak/>
        <w:t xml:space="preserve">Bilješka </w:t>
      </w:r>
      <w:r>
        <w:rPr>
          <w:rFonts w:asciiTheme="minorHAnsi" w:hAnsiTheme="minorHAnsi"/>
        </w:rPr>
        <w:t>6</w:t>
      </w:r>
      <w:r w:rsidRPr="000D6973">
        <w:rPr>
          <w:rFonts w:asciiTheme="minorHAnsi" w:hAnsiTheme="minorHAnsi"/>
        </w:rPr>
        <w:t>.</w:t>
      </w:r>
    </w:p>
    <w:p w14:paraId="086795F2" w14:textId="5DD060AE" w:rsidR="000D6973" w:rsidRPr="000D6973" w:rsidRDefault="000D6973" w:rsidP="000D6973">
      <w:pPr>
        <w:spacing w:line="276" w:lineRule="auto"/>
        <w:jc w:val="both"/>
        <w:rPr>
          <w:rFonts w:asciiTheme="minorHAnsi" w:hAnsiTheme="minorHAnsi"/>
        </w:rPr>
      </w:pPr>
      <w:r w:rsidRPr="000D6973">
        <w:rPr>
          <w:rFonts w:asciiTheme="minorHAnsi" w:hAnsiTheme="minorHAnsi"/>
        </w:rPr>
        <w:t xml:space="preserve">ŠIFRA 1112 </w:t>
      </w:r>
      <w:r>
        <w:rPr>
          <w:rFonts w:asciiTheme="minorHAnsi" w:hAnsiTheme="minorHAnsi"/>
        </w:rPr>
        <w:t>Novac na računu kod tuzemnih poslovnih banaka bilježi porast za 22.342,32 eura (54,3%), a odnosi se na novac primljen od osnivača i iz vlastitih izvora.</w:t>
      </w:r>
    </w:p>
    <w:p w14:paraId="5EE5330B" w14:textId="77777777" w:rsidR="000D6973" w:rsidRPr="007F25F5" w:rsidRDefault="000D6973" w:rsidP="007F25F5">
      <w:pPr>
        <w:spacing w:line="276" w:lineRule="auto"/>
        <w:jc w:val="both"/>
        <w:rPr>
          <w:rFonts w:asciiTheme="minorHAnsi" w:hAnsiTheme="minorHAnsi"/>
        </w:rPr>
      </w:pPr>
    </w:p>
    <w:p w14:paraId="66F211BA" w14:textId="26FAA104" w:rsidR="000D6973" w:rsidRPr="000D6973" w:rsidRDefault="000D6973" w:rsidP="000D6973">
      <w:pPr>
        <w:spacing w:line="276" w:lineRule="auto"/>
        <w:jc w:val="both"/>
        <w:rPr>
          <w:rFonts w:asciiTheme="minorHAnsi" w:hAnsiTheme="minorHAnsi"/>
        </w:rPr>
      </w:pPr>
      <w:r w:rsidRPr="000D6973">
        <w:rPr>
          <w:rFonts w:asciiTheme="minorHAnsi" w:hAnsiTheme="minorHAnsi"/>
        </w:rPr>
        <w:t>Bilješka 7.</w:t>
      </w:r>
    </w:p>
    <w:p w14:paraId="3BC8F09D" w14:textId="78FB5E58" w:rsidR="007F25F5" w:rsidRPr="007F25F5" w:rsidRDefault="000D6973" w:rsidP="000D6973">
      <w:pPr>
        <w:spacing w:line="276" w:lineRule="auto"/>
        <w:jc w:val="both"/>
        <w:rPr>
          <w:rFonts w:asciiTheme="minorHAnsi" w:hAnsiTheme="minorHAnsi"/>
        </w:rPr>
      </w:pPr>
      <w:r w:rsidRPr="000D6973">
        <w:rPr>
          <w:rFonts w:asciiTheme="minorHAnsi" w:hAnsiTheme="minorHAnsi"/>
        </w:rPr>
        <w:t xml:space="preserve">ŠIFRA 124 Potraživanja za više plaćene poreze i doprinose </w:t>
      </w:r>
      <w:r>
        <w:rPr>
          <w:rFonts w:asciiTheme="minorHAnsi" w:hAnsiTheme="minorHAnsi"/>
        </w:rPr>
        <w:t xml:space="preserve">na početku razdoblja su iznosila 497,62 eura i odnosila su se na povrat poreza na dohodak, a na kraju razdoblja iznose 0,00 eura. </w:t>
      </w:r>
    </w:p>
    <w:p w14:paraId="22CF60F5" w14:textId="77777777" w:rsidR="00CA7B7D" w:rsidRDefault="00CA7B7D" w:rsidP="00B65B9E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7FE43AA0" w14:textId="0206EB96" w:rsidR="000D6973" w:rsidRPr="000D6973" w:rsidRDefault="000D6973" w:rsidP="000D6973">
      <w:pPr>
        <w:spacing w:line="276" w:lineRule="auto"/>
        <w:jc w:val="both"/>
        <w:rPr>
          <w:rFonts w:asciiTheme="minorHAnsi" w:hAnsiTheme="minorHAnsi"/>
        </w:rPr>
      </w:pPr>
      <w:r w:rsidRPr="000D6973">
        <w:rPr>
          <w:rFonts w:asciiTheme="minorHAnsi" w:hAnsiTheme="minorHAnsi"/>
        </w:rPr>
        <w:t xml:space="preserve">Bilješka </w:t>
      </w:r>
      <w:r>
        <w:rPr>
          <w:rFonts w:asciiTheme="minorHAnsi" w:hAnsiTheme="minorHAnsi"/>
        </w:rPr>
        <w:t>8</w:t>
      </w:r>
      <w:r w:rsidRPr="000D6973">
        <w:rPr>
          <w:rFonts w:asciiTheme="minorHAnsi" w:hAnsiTheme="minorHAnsi"/>
        </w:rPr>
        <w:t>.</w:t>
      </w:r>
    </w:p>
    <w:p w14:paraId="71AA0907" w14:textId="044DF713" w:rsidR="000D6973" w:rsidRDefault="000D6973" w:rsidP="000D6973">
      <w:pPr>
        <w:spacing w:line="276" w:lineRule="auto"/>
        <w:jc w:val="both"/>
        <w:rPr>
          <w:rFonts w:asciiTheme="minorHAnsi" w:hAnsiTheme="minorHAnsi"/>
        </w:rPr>
      </w:pPr>
      <w:r w:rsidRPr="000D6973">
        <w:rPr>
          <w:rFonts w:asciiTheme="minorHAnsi" w:hAnsiTheme="minorHAnsi"/>
        </w:rPr>
        <w:t>ŠIFRA 12</w:t>
      </w:r>
      <w:r w:rsidRPr="000D6973">
        <w:rPr>
          <w:rFonts w:asciiTheme="minorHAnsi" w:hAnsiTheme="minorHAnsi"/>
        </w:rPr>
        <w:t>9</w:t>
      </w:r>
      <w:r w:rsidRPr="000D6973">
        <w:rPr>
          <w:rFonts w:asciiTheme="minorHAnsi" w:hAnsiTheme="minorHAnsi"/>
        </w:rPr>
        <w:t xml:space="preserve"> </w:t>
      </w:r>
      <w:r w:rsidRPr="000D6973">
        <w:rPr>
          <w:rFonts w:asciiTheme="minorHAnsi" w:hAnsiTheme="minorHAnsi"/>
        </w:rPr>
        <w:t>Ostala p</w:t>
      </w:r>
      <w:r w:rsidRPr="000D6973">
        <w:rPr>
          <w:rFonts w:asciiTheme="minorHAnsi" w:hAnsiTheme="minorHAnsi"/>
        </w:rPr>
        <w:t xml:space="preserve">otraživanja </w:t>
      </w:r>
      <w:r w:rsidRPr="000D6973">
        <w:rPr>
          <w:rFonts w:asciiTheme="minorHAnsi" w:hAnsiTheme="minorHAnsi"/>
        </w:rPr>
        <w:t xml:space="preserve">na početku razdoblja su iznosila </w:t>
      </w:r>
      <w:r w:rsidRPr="000D6973">
        <w:rPr>
          <w:rFonts w:asciiTheme="minorHAnsi" w:hAnsiTheme="minorHAnsi"/>
        </w:rPr>
        <w:t>282,96 eura</w:t>
      </w:r>
      <w:r w:rsidRPr="000D6973">
        <w:rPr>
          <w:rFonts w:asciiTheme="minorHAnsi" w:hAnsiTheme="minorHAnsi"/>
        </w:rPr>
        <w:t>, a sada iznose 693,28 eura. O</w:t>
      </w:r>
      <w:r w:rsidRPr="000D6973">
        <w:rPr>
          <w:rFonts w:asciiTheme="minorHAnsi" w:hAnsiTheme="minorHAnsi"/>
        </w:rPr>
        <w:t>dnose se na potraživanje od HZZO-a za bolovanje</w:t>
      </w:r>
      <w:r w:rsidRPr="000D6973">
        <w:rPr>
          <w:rFonts w:asciiTheme="minorHAnsi" w:hAnsiTheme="minorHAnsi"/>
        </w:rPr>
        <w:t>.</w:t>
      </w:r>
    </w:p>
    <w:p w14:paraId="475A051D" w14:textId="77777777" w:rsidR="000A2EF5" w:rsidRDefault="000A2EF5" w:rsidP="000D6973">
      <w:pPr>
        <w:spacing w:line="276" w:lineRule="auto"/>
        <w:jc w:val="both"/>
        <w:rPr>
          <w:rFonts w:asciiTheme="minorHAnsi" w:hAnsiTheme="minorHAnsi"/>
        </w:rPr>
      </w:pPr>
    </w:p>
    <w:p w14:paraId="5DCDE92C" w14:textId="79A9327D" w:rsidR="000A2EF5" w:rsidRPr="000A2EF5" w:rsidRDefault="000A2EF5" w:rsidP="000A2EF5">
      <w:pPr>
        <w:spacing w:line="276" w:lineRule="auto"/>
        <w:jc w:val="both"/>
        <w:rPr>
          <w:rFonts w:asciiTheme="minorHAnsi" w:hAnsiTheme="minorHAnsi"/>
        </w:rPr>
      </w:pPr>
      <w:r w:rsidRPr="000A2EF5">
        <w:rPr>
          <w:rFonts w:asciiTheme="minorHAnsi" w:hAnsiTheme="minorHAnsi"/>
        </w:rPr>
        <w:t xml:space="preserve">Bilješka </w:t>
      </w:r>
      <w:r w:rsidRPr="000A2EF5">
        <w:rPr>
          <w:rFonts w:asciiTheme="minorHAnsi" w:hAnsiTheme="minorHAnsi"/>
        </w:rPr>
        <w:t>9</w:t>
      </w:r>
      <w:r w:rsidRPr="000A2EF5">
        <w:rPr>
          <w:rFonts w:asciiTheme="minorHAnsi" w:hAnsiTheme="minorHAnsi"/>
        </w:rPr>
        <w:t xml:space="preserve">. </w:t>
      </w:r>
    </w:p>
    <w:p w14:paraId="1AF9DD0E" w14:textId="74E989F8" w:rsidR="000A2EF5" w:rsidRDefault="000A2EF5" w:rsidP="000A2EF5">
      <w:pPr>
        <w:spacing w:line="276" w:lineRule="auto"/>
        <w:jc w:val="both"/>
        <w:rPr>
          <w:rFonts w:asciiTheme="minorHAnsi" w:hAnsiTheme="minorHAnsi"/>
        </w:rPr>
      </w:pPr>
      <w:r w:rsidRPr="000A2EF5">
        <w:rPr>
          <w:rFonts w:asciiTheme="minorHAnsi" w:hAnsiTheme="minorHAnsi"/>
        </w:rPr>
        <w:t xml:space="preserve">ŠIFRA 231 </w:t>
      </w:r>
      <w:r w:rsidRPr="000A2EF5">
        <w:rPr>
          <w:rFonts w:asciiTheme="minorHAnsi" w:hAnsiTheme="minorHAnsi"/>
        </w:rPr>
        <w:t>O</w:t>
      </w:r>
      <w:r w:rsidRPr="000A2EF5">
        <w:rPr>
          <w:rFonts w:asciiTheme="minorHAnsi" w:hAnsiTheme="minorHAnsi"/>
        </w:rPr>
        <w:t xml:space="preserve">bveze za zaposlene </w:t>
      </w:r>
      <w:r w:rsidRPr="000A2EF5">
        <w:rPr>
          <w:rFonts w:asciiTheme="minorHAnsi" w:hAnsiTheme="minorHAnsi"/>
        </w:rPr>
        <w:t xml:space="preserve">odnose se na </w:t>
      </w:r>
      <w:r w:rsidRPr="000A2EF5">
        <w:rPr>
          <w:rFonts w:asciiTheme="minorHAnsi" w:hAnsiTheme="minorHAnsi"/>
        </w:rPr>
        <w:t>plaću za prosinac 2024. koja je isplaćena u siječnju 202</w:t>
      </w:r>
      <w:r w:rsidRPr="000A2EF5">
        <w:rPr>
          <w:rFonts w:asciiTheme="minorHAnsi" w:hAnsiTheme="minorHAnsi"/>
        </w:rPr>
        <w:t>5., a p</w:t>
      </w:r>
      <w:r w:rsidRPr="000A2EF5">
        <w:rPr>
          <w:rFonts w:asciiTheme="minorHAnsi" w:hAnsiTheme="minorHAnsi"/>
        </w:rPr>
        <w:t xml:space="preserve">ovećavaju se za </w:t>
      </w:r>
      <w:r w:rsidRPr="000A2EF5">
        <w:rPr>
          <w:rFonts w:asciiTheme="minorHAnsi" w:hAnsiTheme="minorHAnsi"/>
        </w:rPr>
        <w:t>66,4</w:t>
      </w:r>
      <w:r w:rsidRPr="000A2EF5">
        <w:rPr>
          <w:rFonts w:asciiTheme="minorHAnsi" w:hAnsiTheme="minorHAnsi"/>
        </w:rPr>
        <w:t xml:space="preserve">% zbog </w:t>
      </w:r>
      <w:r w:rsidRPr="000A2EF5">
        <w:rPr>
          <w:rFonts w:asciiTheme="minorHAnsi" w:hAnsiTheme="minorHAnsi"/>
        </w:rPr>
        <w:t>usklade</w:t>
      </w:r>
      <w:r w:rsidRPr="000A2EF5">
        <w:rPr>
          <w:rFonts w:asciiTheme="minorHAnsi" w:hAnsiTheme="minorHAnsi"/>
        </w:rPr>
        <w:t xml:space="preserve"> koeficijenata</w:t>
      </w:r>
      <w:r w:rsidRPr="000A2EF5">
        <w:rPr>
          <w:rFonts w:asciiTheme="minorHAnsi" w:hAnsiTheme="minorHAnsi"/>
        </w:rPr>
        <w:t xml:space="preserve"> s osnivačem </w:t>
      </w:r>
      <w:r w:rsidRPr="000A2EF5">
        <w:rPr>
          <w:rFonts w:asciiTheme="minorHAnsi" w:hAnsiTheme="minorHAnsi"/>
        </w:rPr>
        <w:t>te jednog primljenog djelatnika</w:t>
      </w:r>
      <w:r w:rsidRPr="000A2EF5">
        <w:rPr>
          <w:rFonts w:asciiTheme="minorHAnsi" w:hAnsiTheme="minorHAnsi"/>
        </w:rPr>
        <w:t>.</w:t>
      </w:r>
    </w:p>
    <w:p w14:paraId="2BC01FDF" w14:textId="77777777" w:rsidR="000A2EF5" w:rsidRDefault="000A2EF5" w:rsidP="000A2EF5">
      <w:pPr>
        <w:spacing w:line="276" w:lineRule="auto"/>
        <w:jc w:val="both"/>
        <w:rPr>
          <w:rFonts w:asciiTheme="minorHAnsi" w:hAnsiTheme="minorHAnsi"/>
        </w:rPr>
      </w:pPr>
    </w:p>
    <w:p w14:paraId="4AD00F2B" w14:textId="2A3E1084" w:rsidR="000A2EF5" w:rsidRPr="000A2EF5" w:rsidRDefault="000A2EF5" w:rsidP="000A2EF5">
      <w:pPr>
        <w:spacing w:line="276" w:lineRule="auto"/>
        <w:jc w:val="both"/>
        <w:rPr>
          <w:rFonts w:asciiTheme="minorHAnsi" w:hAnsiTheme="minorHAnsi"/>
        </w:rPr>
      </w:pPr>
      <w:r w:rsidRPr="000A2EF5">
        <w:rPr>
          <w:rFonts w:asciiTheme="minorHAnsi" w:hAnsiTheme="minorHAnsi"/>
        </w:rPr>
        <w:t xml:space="preserve">Bilješka </w:t>
      </w:r>
      <w:r>
        <w:rPr>
          <w:rFonts w:asciiTheme="minorHAnsi" w:hAnsiTheme="minorHAnsi"/>
        </w:rPr>
        <w:t>10</w:t>
      </w:r>
      <w:r w:rsidRPr="000A2EF5">
        <w:rPr>
          <w:rFonts w:asciiTheme="minorHAnsi" w:hAnsiTheme="minorHAnsi"/>
        </w:rPr>
        <w:t xml:space="preserve">. </w:t>
      </w:r>
    </w:p>
    <w:p w14:paraId="3190294B" w14:textId="02757A82" w:rsidR="000A2EF5" w:rsidRPr="007F25F5" w:rsidRDefault="000A2EF5" w:rsidP="000A2EF5">
      <w:pPr>
        <w:spacing w:line="276" w:lineRule="auto"/>
        <w:jc w:val="both"/>
        <w:rPr>
          <w:rFonts w:asciiTheme="minorHAnsi" w:hAnsiTheme="minorHAnsi"/>
        </w:rPr>
      </w:pPr>
      <w:r w:rsidRPr="000A2EF5">
        <w:rPr>
          <w:rFonts w:asciiTheme="minorHAnsi" w:hAnsiTheme="minorHAnsi"/>
        </w:rPr>
        <w:t>ŠIFRA 23</w:t>
      </w:r>
      <w:r>
        <w:rPr>
          <w:rFonts w:asciiTheme="minorHAnsi" w:hAnsiTheme="minorHAnsi"/>
        </w:rPr>
        <w:t xml:space="preserve">9 Ostale tekuće obveze smanjuju se za </w:t>
      </w:r>
      <w:r w:rsidR="009F12AC">
        <w:rPr>
          <w:rFonts w:asciiTheme="minorHAnsi" w:hAnsiTheme="minorHAnsi"/>
        </w:rPr>
        <w:t>37,8%, a odnose se na sredstva za povrat u proračun osnivača.</w:t>
      </w:r>
    </w:p>
    <w:p w14:paraId="478B5EE2" w14:textId="77777777" w:rsidR="000D6973" w:rsidRDefault="000D6973" w:rsidP="00B65B9E">
      <w:pPr>
        <w:spacing w:line="276" w:lineRule="auto"/>
        <w:jc w:val="both"/>
        <w:rPr>
          <w:rFonts w:asciiTheme="minorHAnsi" w:hAnsiTheme="minorHAnsi"/>
          <w:highlight w:val="yellow"/>
        </w:rPr>
      </w:pPr>
    </w:p>
    <w:p w14:paraId="41E9170A" w14:textId="18D58F07" w:rsidR="009F12AC" w:rsidRPr="000A2EF5" w:rsidRDefault="009F12AC" w:rsidP="009F12AC">
      <w:pPr>
        <w:spacing w:line="276" w:lineRule="auto"/>
        <w:jc w:val="both"/>
        <w:rPr>
          <w:rFonts w:asciiTheme="minorHAnsi" w:hAnsiTheme="minorHAnsi"/>
        </w:rPr>
      </w:pPr>
      <w:r w:rsidRPr="000A2EF5">
        <w:rPr>
          <w:rFonts w:asciiTheme="minorHAnsi" w:hAnsiTheme="minorHAnsi"/>
        </w:rPr>
        <w:t xml:space="preserve">Bilješka </w:t>
      </w:r>
      <w:r>
        <w:rPr>
          <w:rFonts w:asciiTheme="minorHAnsi" w:hAnsiTheme="minorHAnsi"/>
        </w:rPr>
        <w:t>1</w:t>
      </w:r>
      <w:r>
        <w:rPr>
          <w:rFonts w:asciiTheme="minorHAnsi" w:hAnsiTheme="minorHAnsi"/>
        </w:rPr>
        <w:t>1</w:t>
      </w:r>
      <w:r w:rsidRPr="000A2EF5">
        <w:rPr>
          <w:rFonts w:asciiTheme="minorHAnsi" w:hAnsiTheme="minorHAnsi"/>
        </w:rPr>
        <w:t xml:space="preserve">. </w:t>
      </w:r>
    </w:p>
    <w:p w14:paraId="3E9EF2E8" w14:textId="1971C47D" w:rsidR="001E485F" w:rsidRPr="009F12AC" w:rsidRDefault="009F12AC" w:rsidP="00B65B9E">
      <w:pPr>
        <w:spacing w:line="276" w:lineRule="auto"/>
        <w:jc w:val="both"/>
        <w:rPr>
          <w:rFonts w:asciiTheme="minorHAnsi" w:hAnsiTheme="minorHAnsi"/>
        </w:rPr>
      </w:pPr>
      <w:r w:rsidRPr="009F12AC">
        <w:rPr>
          <w:rFonts w:asciiTheme="minorHAnsi" w:hAnsiTheme="minorHAnsi"/>
        </w:rPr>
        <w:t xml:space="preserve">ŠIFRA </w:t>
      </w:r>
      <w:r w:rsidRPr="009F12AC">
        <w:rPr>
          <w:rFonts w:asciiTheme="minorHAnsi" w:hAnsiTheme="minorHAnsi"/>
        </w:rPr>
        <w:t>9111</w:t>
      </w:r>
      <w:r w:rsidRPr="009F12AC">
        <w:rPr>
          <w:rFonts w:asciiTheme="minorHAnsi" w:hAnsiTheme="minorHAnsi"/>
          <w:b/>
          <w:bCs/>
          <w:i/>
          <w:iCs/>
        </w:rPr>
        <w:t xml:space="preserve"> </w:t>
      </w:r>
      <w:r w:rsidRPr="009F12AC">
        <w:rPr>
          <w:rFonts w:asciiTheme="minorHAnsi" w:hAnsiTheme="minorHAnsi"/>
        </w:rPr>
        <w:t>Vlastiti izvori iz proračuna</w:t>
      </w:r>
      <w:r w:rsidRPr="009F12AC">
        <w:rPr>
          <w:rFonts w:asciiTheme="minorHAnsi" w:hAnsiTheme="minorHAnsi"/>
        </w:rPr>
        <w:t xml:space="preserve"> </w:t>
      </w:r>
      <w:r w:rsidR="001E485F" w:rsidRPr="009F12AC">
        <w:rPr>
          <w:rFonts w:asciiTheme="minorHAnsi" w:hAnsiTheme="minorHAnsi"/>
        </w:rPr>
        <w:t xml:space="preserve">smanjeni su zbog amortizacije dugotrajne materijalne imovine. </w:t>
      </w:r>
    </w:p>
    <w:p w14:paraId="246EC22D" w14:textId="77777777" w:rsidR="0063142D" w:rsidRDefault="0063142D" w:rsidP="00B65B9E">
      <w:pPr>
        <w:spacing w:line="276" w:lineRule="auto"/>
        <w:rPr>
          <w:rFonts w:asciiTheme="minorHAnsi" w:hAnsiTheme="minorHAnsi"/>
          <w:highlight w:val="yellow"/>
        </w:rPr>
      </w:pPr>
    </w:p>
    <w:p w14:paraId="2A6440DC" w14:textId="062F8E8A" w:rsidR="009F12AC" w:rsidRPr="009F12AC" w:rsidRDefault="009F12AC" w:rsidP="009F12AC">
      <w:pPr>
        <w:spacing w:line="276" w:lineRule="auto"/>
        <w:jc w:val="both"/>
        <w:rPr>
          <w:rFonts w:asciiTheme="minorHAnsi" w:hAnsiTheme="minorHAnsi"/>
        </w:rPr>
      </w:pPr>
      <w:r w:rsidRPr="009F12AC">
        <w:rPr>
          <w:rFonts w:asciiTheme="minorHAnsi" w:hAnsiTheme="minorHAnsi"/>
        </w:rPr>
        <w:t>Bilješka 1</w:t>
      </w:r>
      <w:r w:rsidR="00535F89">
        <w:rPr>
          <w:rFonts w:asciiTheme="minorHAnsi" w:hAnsiTheme="minorHAnsi"/>
        </w:rPr>
        <w:t>2</w:t>
      </w:r>
      <w:r w:rsidRPr="009F12AC">
        <w:rPr>
          <w:rFonts w:asciiTheme="minorHAnsi" w:hAnsiTheme="minorHAnsi"/>
        </w:rPr>
        <w:t xml:space="preserve">. </w:t>
      </w:r>
    </w:p>
    <w:p w14:paraId="65BD90D0" w14:textId="73F4E9A3" w:rsidR="0063142D" w:rsidRPr="009F12AC" w:rsidRDefault="009F12AC" w:rsidP="009F12AC">
      <w:pPr>
        <w:spacing w:line="276" w:lineRule="auto"/>
        <w:rPr>
          <w:rFonts w:asciiTheme="minorHAnsi" w:hAnsiTheme="minorHAnsi"/>
        </w:rPr>
      </w:pPr>
      <w:r w:rsidRPr="009F12AC">
        <w:rPr>
          <w:rFonts w:asciiTheme="minorHAnsi" w:hAnsiTheme="minorHAnsi"/>
        </w:rPr>
        <w:t>ŠIFRA 9</w:t>
      </w:r>
      <w:r w:rsidRPr="009F12AC">
        <w:rPr>
          <w:rFonts w:asciiTheme="minorHAnsi" w:hAnsiTheme="minorHAnsi"/>
        </w:rPr>
        <w:t xml:space="preserve">22 </w:t>
      </w:r>
      <w:r w:rsidR="00A81096" w:rsidRPr="009F12AC">
        <w:rPr>
          <w:rFonts w:asciiTheme="minorHAnsi" w:hAnsiTheme="minorHAnsi"/>
        </w:rPr>
        <w:t>Višak/manjak prihoda</w:t>
      </w:r>
      <w:r w:rsidR="00A81096" w:rsidRPr="009F12AC">
        <w:rPr>
          <w:rFonts w:asciiTheme="minorHAnsi" w:hAnsiTheme="minorHAnsi"/>
          <w:b/>
          <w:bCs/>
          <w:i/>
          <w:iCs/>
        </w:rPr>
        <w:t xml:space="preserve"> </w:t>
      </w:r>
      <w:r w:rsidR="00A81096" w:rsidRPr="009F12AC">
        <w:rPr>
          <w:rFonts w:asciiTheme="minorHAnsi" w:hAnsiTheme="minorHAnsi"/>
        </w:rPr>
        <w:t xml:space="preserve">iznosi </w:t>
      </w:r>
      <w:r w:rsidRPr="009F12AC">
        <w:rPr>
          <w:rFonts w:asciiTheme="minorHAnsi" w:hAnsiTheme="minorHAnsi"/>
        </w:rPr>
        <w:t xml:space="preserve">1.268,63 </w:t>
      </w:r>
      <w:r w:rsidR="00A81096" w:rsidRPr="009F12AC">
        <w:rPr>
          <w:rFonts w:asciiTheme="minorHAnsi" w:hAnsiTheme="minorHAnsi"/>
        </w:rPr>
        <w:t xml:space="preserve">eura, </w:t>
      </w:r>
      <w:r w:rsidRPr="009F12AC">
        <w:rPr>
          <w:rFonts w:asciiTheme="minorHAnsi" w:hAnsiTheme="minorHAnsi"/>
        </w:rPr>
        <w:t>a nastao je</w:t>
      </w:r>
      <w:r w:rsidR="00A81096" w:rsidRPr="009F12AC">
        <w:rPr>
          <w:rFonts w:asciiTheme="minorHAnsi" w:hAnsiTheme="minorHAnsi"/>
        </w:rPr>
        <w:t xml:space="preserve"> kao rezultat Viška prihoda poslovanja</w:t>
      </w:r>
      <w:r w:rsidRPr="009F12AC">
        <w:rPr>
          <w:rFonts w:asciiTheme="minorHAnsi" w:hAnsiTheme="minorHAnsi"/>
        </w:rPr>
        <w:t xml:space="preserve"> u iznosu od 5.883,17 eura</w:t>
      </w:r>
      <w:r w:rsidR="00A81096" w:rsidRPr="009F12AC">
        <w:rPr>
          <w:rFonts w:asciiTheme="minorHAnsi" w:hAnsiTheme="minorHAnsi"/>
        </w:rPr>
        <w:t xml:space="preserve"> (šifra 9221) i Manjka prihoda od nefinancijske imovine</w:t>
      </w:r>
      <w:r w:rsidRPr="009F12AC">
        <w:rPr>
          <w:rFonts w:asciiTheme="minorHAnsi" w:hAnsiTheme="minorHAnsi"/>
        </w:rPr>
        <w:t xml:space="preserve"> </w:t>
      </w:r>
      <w:r w:rsidR="00A81096" w:rsidRPr="009F12AC">
        <w:rPr>
          <w:rFonts w:asciiTheme="minorHAnsi" w:hAnsiTheme="minorHAnsi"/>
        </w:rPr>
        <w:t xml:space="preserve"> </w:t>
      </w:r>
      <w:r w:rsidRPr="009F12AC">
        <w:rPr>
          <w:rFonts w:asciiTheme="minorHAnsi" w:hAnsiTheme="minorHAnsi"/>
        </w:rPr>
        <w:t xml:space="preserve">u iznosu od 4.614,54 eura </w:t>
      </w:r>
      <w:r w:rsidR="00A81096" w:rsidRPr="009F12AC">
        <w:rPr>
          <w:rFonts w:asciiTheme="minorHAnsi" w:hAnsiTheme="minorHAnsi"/>
        </w:rPr>
        <w:t>(šifra 9222)</w:t>
      </w:r>
      <w:r w:rsidRPr="009F12AC">
        <w:rPr>
          <w:rFonts w:asciiTheme="minorHAnsi" w:hAnsiTheme="minorHAnsi"/>
        </w:rPr>
        <w:t xml:space="preserve">. Isti će se </w:t>
      </w:r>
      <w:r w:rsidR="00A4659B" w:rsidRPr="009F12AC">
        <w:rPr>
          <w:rFonts w:asciiTheme="minorHAnsi" w:hAnsiTheme="minorHAnsi"/>
        </w:rPr>
        <w:t>raspodijelit</w:t>
      </w:r>
      <w:r w:rsidRPr="009F12AC">
        <w:rPr>
          <w:rFonts w:asciiTheme="minorHAnsi" w:hAnsiTheme="minorHAnsi"/>
        </w:rPr>
        <w:t>i</w:t>
      </w:r>
      <w:r w:rsidR="00A4659B" w:rsidRPr="009F12AC">
        <w:rPr>
          <w:rFonts w:asciiTheme="minorHAnsi" w:hAnsiTheme="minorHAnsi"/>
        </w:rPr>
        <w:t xml:space="preserve"> tijekom 202</w:t>
      </w:r>
      <w:r w:rsidRPr="009F12AC">
        <w:rPr>
          <w:rFonts w:asciiTheme="minorHAnsi" w:hAnsiTheme="minorHAnsi"/>
        </w:rPr>
        <w:t>5</w:t>
      </w:r>
      <w:r w:rsidR="00A4659B" w:rsidRPr="009F12AC">
        <w:rPr>
          <w:rFonts w:asciiTheme="minorHAnsi" w:hAnsiTheme="minorHAnsi"/>
        </w:rPr>
        <w:t>. godine</w:t>
      </w:r>
      <w:r w:rsidR="00A81096" w:rsidRPr="009F12AC">
        <w:rPr>
          <w:rFonts w:asciiTheme="minorHAnsi" w:hAnsiTheme="minorHAnsi"/>
        </w:rPr>
        <w:t>.</w:t>
      </w:r>
    </w:p>
    <w:p w14:paraId="32B9B4A4" w14:textId="77777777" w:rsidR="00B65B9E" w:rsidRDefault="00B65B9E" w:rsidP="00B65B9E">
      <w:pPr>
        <w:spacing w:line="276" w:lineRule="auto"/>
        <w:rPr>
          <w:rFonts w:asciiTheme="minorHAnsi" w:hAnsiTheme="minorHAnsi"/>
          <w:highlight w:val="yellow"/>
        </w:rPr>
      </w:pPr>
    </w:p>
    <w:p w14:paraId="0F7E568E" w14:textId="15F5FC07" w:rsidR="00A25B61" w:rsidRPr="009F12AC" w:rsidRDefault="00A25B61" w:rsidP="00A25B61">
      <w:pPr>
        <w:spacing w:line="276" w:lineRule="auto"/>
        <w:jc w:val="both"/>
        <w:rPr>
          <w:rFonts w:asciiTheme="minorHAnsi" w:hAnsiTheme="minorHAnsi"/>
        </w:rPr>
      </w:pPr>
      <w:r w:rsidRPr="009F12AC">
        <w:rPr>
          <w:rFonts w:asciiTheme="minorHAnsi" w:hAnsiTheme="minorHAnsi"/>
        </w:rPr>
        <w:t>Bilješka 1</w:t>
      </w:r>
      <w:r>
        <w:rPr>
          <w:rFonts w:asciiTheme="minorHAnsi" w:hAnsiTheme="minorHAnsi"/>
        </w:rPr>
        <w:t>3</w:t>
      </w:r>
      <w:r w:rsidRPr="009F12AC">
        <w:rPr>
          <w:rFonts w:asciiTheme="minorHAnsi" w:hAnsiTheme="minorHAnsi"/>
        </w:rPr>
        <w:t xml:space="preserve">. </w:t>
      </w:r>
    </w:p>
    <w:p w14:paraId="55D679AF" w14:textId="7590FB24" w:rsidR="00B65B9E" w:rsidRPr="00A25B61" w:rsidRDefault="00A25B61" w:rsidP="00A25B61">
      <w:pPr>
        <w:spacing w:line="276" w:lineRule="auto"/>
        <w:jc w:val="both"/>
        <w:rPr>
          <w:rFonts w:asciiTheme="minorHAnsi" w:hAnsiTheme="minorHAnsi"/>
        </w:rPr>
      </w:pPr>
      <w:r w:rsidRPr="00A25B61">
        <w:rPr>
          <w:rFonts w:asciiTheme="minorHAnsi" w:hAnsiTheme="minorHAnsi"/>
        </w:rPr>
        <w:t>ŠIFRA 9</w:t>
      </w:r>
      <w:r w:rsidRPr="00A25B61">
        <w:rPr>
          <w:rFonts w:asciiTheme="minorHAnsi" w:hAnsiTheme="minorHAnsi"/>
        </w:rPr>
        <w:t xml:space="preserve">91 </w:t>
      </w:r>
      <w:proofErr w:type="spellStart"/>
      <w:r w:rsidR="0063142D" w:rsidRPr="00A25B61">
        <w:rPr>
          <w:rFonts w:asciiTheme="minorHAnsi" w:hAnsiTheme="minorHAnsi"/>
        </w:rPr>
        <w:t>Izvanbilančni</w:t>
      </w:r>
      <w:proofErr w:type="spellEnd"/>
      <w:r w:rsidR="0063142D" w:rsidRPr="00A25B61">
        <w:rPr>
          <w:rFonts w:asciiTheme="minorHAnsi" w:hAnsiTheme="minorHAnsi"/>
        </w:rPr>
        <w:t xml:space="preserve"> zapisi</w:t>
      </w:r>
      <w:r w:rsidR="00B65B9E" w:rsidRPr="00A25B61">
        <w:rPr>
          <w:rFonts w:asciiTheme="minorHAnsi" w:hAnsiTheme="minorHAnsi"/>
          <w:i/>
          <w:iCs/>
        </w:rPr>
        <w:t xml:space="preserve"> </w:t>
      </w:r>
      <w:r w:rsidR="00B65B9E" w:rsidRPr="00A25B61">
        <w:rPr>
          <w:rFonts w:asciiTheme="minorHAnsi" w:hAnsiTheme="minorHAnsi"/>
        </w:rPr>
        <w:t>iznose 475,00 eura i odnose se na najam fotokopirnog uređaja za razdoblje od godine dana. Godišnji najam iznosi 600,00 eura, dok je još 475,00 eura preostalo do isteka ugovora.</w:t>
      </w:r>
    </w:p>
    <w:p w14:paraId="271DD5C7" w14:textId="77777777" w:rsidR="001E485F" w:rsidRPr="00A25B61" w:rsidRDefault="001E485F" w:rsidP="00B65B9E">
      <w:pPr>
        <w:spacing w:line="276" w:lineRule="auto"/>
        <w:rPr>
          <w:rFonts w:asciiTheme="minorHAnsi" w:hAnsiTheme="minorHAnsi"/>
        </w:rPr>
      </w:pPr>
    </w:p>
    <w:p w14:paraId="4C2F4BD4" w14:textId="5E6EE638" w:rsidR="00B65B9E" w:rsidRPr="00A25B61" w:rsidRDefault="00D5077B" w:rsidP="00D5077B">
      <w:pPr>
        <w:spacing w:line="276" w:lineRule="auto"/>
        <w:jc w:val="both"/>
        <w:rPr>
          <w:rFonts w:asciiTheme="minorHAnsi" w:hAnsiTheme="minorHAnsi"/>
        </w:rPr>
      </w:pPr>
      <w:r w:rsidRPr="00A25B61">
        <w:rPr>
          <w:rFonts w:asciiTheme="minorHAnsi" w:hAnsiTheme="minorHAnsi"/>
        </w:rPr>
        <w:t xml:space="preserve">Sukladno Pravilniku o financijskom izvještavanju u proračunskom računovodstvu, obvezne Bilješke uz Bilancu jesu i: popis ugovornih odnosa i slično koji uz ispunjenje određenih uvjeta, </w:t>
      </w:r>
      <w:r w:rsidRPr="00A25B61">
        <w:rPr>
          <w:rFonts w:asciiTheme="minorHAnsi" w:hAnsiTheme="minorHAnsi"/>
        </w:rPr>
        <w:lastRenderedPageBreak/>
        <w:t>mogu postati obveza ili imovina (dana kreditna pisma, hipoteke i slično) i popis sudskih sporova u tijeku. Razvojna agencija VTA nema ništa od navedenog.</w:t>
      </w:r>
    </w:p>
    <w:p w14:paraId="0E4BE2FF" w14:textId="77777777" w:rsidR="00FF2AC9" w:rsidRPr="007F25F5" w:rsidRDefault="00FF2AC9" w:rsidP="00B65B9E">
      <w:pPr>
        <w:spacing w:line="276" w:lineRule="auto"/>
        <w:rPr>
          <w:rFonts w:ascii="Calibri" w:hAnsi="Calibri"/>
          <w:b/>
          <w:bCs/>
          <w:i/>
          <w:iCs/>
          <w:highlight w:val="yellow"/>
          <w:u w:val="single"/>
        </w:rPr>
      </w:pPr>
    </w:p>
    <w:p w14:paraId="105FBD0E" w14:textId="77777777" w:rsidR="00210943" w:rsidRPr="007F25F5" w:rsidRDefault="00210943" w:rsidP="00B65B9E">
      <w:pPr>
        <w:spacing w:line="276" w:lineRule="auto"/>
        <w:jc w:val="both"/>
        <w:rPr>
          <w:rFonts w:ascii="Calibri" w:hAnsi="Calibri"/>
          <w:highlight w:val="yellow"/>
        </w:rPr>
      </w:pPr>
    </w:p>
    <w:p w14:paraId="48BC6FCE" w14:textId="77777777" w:rsidR="00095FC9" w:rsidRPr="007F25F5" w:rsidRDefault="00095FC9" w:rsidP="00B65B9E">
      <w:pPr>
        <w:spacing w:line="276" w:lineRule="auto"/>
        <w:jc w:val="both"/>
        <w:rPr>
          <w:rFonts w:ascii="Calibri" w:hAnsi="Calibri"/>
          <w:highlight w:val="yellow"/>
        </w:rPr>
      </w:pPr>
    </w:p>
    <w:p w14:paraId="6191BB34" w14:textId="2E3FDE93" w:rsidR="00095FC9" w:rsidRDefault="00A25B61" w:rsidP="00B65B9E">
      <w:pPr>
        <w:spacing w:line="276" w:lineRule="auto"/>
        <w:jc w:val="both"/>
        <w:rPr>
          <w:rFonts w:asciiTheme="minorHAnsi" w:hAnsiTheme="minorHAnsi"/>
          <w:b/>
          <w:bCs/>
        </w:rPr>
      </w:pPr>
      <w:r w:rsidRPr="00A25B61">
        <w:rPr>
          <w:rFonts w:asciiTheme="minorHAnsi" w:hAnsiTheme="minorHAnsi"/>
          <w:b/>
          <w:bCs/>
        </w:rPr>
        <w:t>4.</w:t>
      </w:r>
      <w:r w:rsidR="00095FC9" w:rsidRPr="00A25B61">
        <w:rPr>
          <w:rFonts w:asciiTheme="minorHAnsi" w:hAnsiTheme="minorHAnsi"/>
          <w:b/>
          <w:bCs/>
        </w:rPr>
        <w:t xml:space="preserve"> IZVJEŠTAJ O OBVEZAMA </w:t>
      </w:r>
    </w:p>
    <w:p w14:paraId="41A97654" w14:textId="77777777" w:rsidR="00A25B61" w:rsidRDefault="00A25B61" w:rsidP="00B65B9E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6E1B2B1E" w14:textId="7B3E2F48" w:rsidR="00A25B61" w:rsidRPr="00A25B61" w:rsidRDefault="00A25B61" w:rsidP="00B65B9E">
      <w:pPr>
        <w:spacing w:line="276" w:lineRule="auto"/>
        <w:jc w:val="both"/>
        <w:rPr>
          <w:rFonts w:asciiTheme="minorHAnsi" w:hAnsiTheme="minorHAnsi"/>
        </w:rPr>
      </w:pPr>
      <w:r w:rsidRPr="00A25B61">
        <w:rPr>
          <w:rFonts w:asciiTheme="minorHAnsi" w:hAnsiTheme="minorHAnsi"/>
        </w:rPr>
        <w:t>Bilješka 1.</w:t>
      </w:r>
    </w:p>
    <w:p w14:paraId="75E59CCD" w14:textId="748087B2" w:rsidR="00095FC9" w:rsidRPr="00A25B61" w:rsidRDefault="00A25B61" w:rsidP="00B65B9E">
      <w:pPr>
        <w:spacing w:line="276" w:lineRule="auto"/>
        <w:jc w:val="both"/>
        <w:rPr>
          <w:rFonts w:ascii="Calibri" w:hAnsi="Calibri"/>
        </w:rPr>
      </w:pPr>
      <w:r w:rsidRPr="00A25B61">
        <w:rPr>
          <w:rFonts w:ascii="Calibri" w:hAnsi="Calibri"/>
        </w:rPr>
        <w:t>ŠIFRA</w:t>
      </w:r>
      <w:r w:rsidR="00095FC9" w:rsidRPr="00A25B61">
        <w:rPr>
          <w:rFonts w:ascii="Calibri" w:hAnsi="Calibri"/>
        </w:rPr>
        <w:t xml:space="preserve"> V006 - Stanje obveza na kraju izvještajnog razdoblja iznosi </w:t>
      </w:r>
      <w:r>
        <w:rPr>
          <w:rFonts w:ascii="Calibri" w:hAnsi="Calibri"/>
        </w:rPr>
        <w:t>62.245,29</w:t>
      </w:r>
      <w:r w:rsidR="00095FC9" w:rsidRPr="00A25B61">
        <w:rPr>
          <w:rFonts w:ascii="Calibri" w:hAnsi="Calibri"/>
        </w:rPr>
        <w:t xml:space="preserve"> eura, a odnose se na Obveze za rashode poslovanja (23) i Obveze za nabavu nefinancijske imovine (24). </w:t>
      </w:r>
    </w:p>
    <w:p w14:paraId="04BD5DA3" w14:textId="77777777" w:rsidR="00095FC9" w:rsidRDefault="00095FC9" w:rsidP="00B65B9E">
      <w:pPr>
        <w:spacing w:line="276" w:lineRule="auto"/>
        <w:jc w:val="both"/>
        <w:rPr>
          <w:rFonts w:ascii="Calibri" w:hAnsi="Calibri"/>
        </w:rPr>
      </w:pPr>
    </w:p>
    <w:p w14:paraId="217574F3" w14:textId="51A0B2F4" w:rsidR="00A25B61" w:rsidRPr="00A25B61" w:rsidRDefault="00A25B61" w:rsidP="00A25B61">
      <w:pPr>
        <w:spacing w:line="276" w:lineRule="auto"/>
        <w:jc w:val="both"/>
        <w:rPr>
          <w:rFonts w:asciiTheme="minorHAnsi" w:hAnsiTheme="minorHAnsi"/>
        </w:rPr>
      </w:pPr>
      <w:r w:rsidRPr="00A25B61">
        <w:rPr>
          <w:rFonts w:asciiTheme="minorHAnsi" w:hAnsiTheme="minorHAnsi"/>
        </w:rPr>
        <w:t xml:space="preserve">Bilješka </w:t>
      </w:r>
      <w:r>
        <w:rPr>
          <w:rFonts w:asciiTheme="minorHAnsi" w:hAnsiTheme="minorHAnsi"/>
        </w:rPr>
        <w:t>2</w:t>
      </w:r>
      <w:r w:rsidRPr="00A25B61">
        <w:rPr>
          <w:rFonts w:asciiTheme="minorHAnsi" w:hAnsiTheme="minorHAnsi"/>
        </w:rPr>
        <w:t>.</w:t>
      </w:r>
    </w:p>
    <w:p w14:paraId="335F51D0" w14:textId="6A8A0A57" w:rsidR="00095FC9" w:rsidRPr="00A25B61" w:rsidRDefault="00A25B61" w:rsidP="00B65B9E">
      <w:pPr>
        <w:spacing w:line="276" w:lineRule="auto"/>
        <w:jc w:val="both"/>
        <w:rPr>
          <w:rFonts w:ascii="Calibri" w:hAnsi="Calibri"/>
        </w:rPr>
      </w:pPr>
      <w:r w:rsidRPr="00A25B61">
        <w:rPr>
          <w:rFonts w:ascii="Calibri" w:hAnsi="Calibri"/>
        </w:rPr>
        <w:t xml:space="preserve">ŠIFRA </w:t>
      </w:r>
      <w:r w:rsidR="00095FC9" w:rsidRPr="00A25B61">
        <w:rPr>
          <w:rFonts w:ascii="Calibri" w:hAnsi="Calibri"/>
        </w:rPr>
        <w:t>V007 - Stanje dospjelih obveza na kraju izvještajnog razdoblja</w:t>
      </w:r>
      <w:r>
        <w:rPr>
          <w:rFonts w:ascii="Calibri" w:hAnsi="Calibri"/>
        </w:rPr>
        <w:t xml:space="preserve"> </w:t>
      </w:r>
      <w:r w:rsidR="00095FC9" w:rsidRPr="00A25B61">
        <w:rPr>
          <w:rFonts w:ascii="Calibri" w:hAnsi="Calibri"/>
        </w:rPr>
        <w:t>iznosi 0,00 eura, odnosno sve su obveze nedospjele.</w:t>
      </w:r>
    </w:p>
    <w:p w14:paraId="6AD25673" w14:textId="77777777" w:rsidR="00095FC9" w:rsidRDefault="00095FC9" w:rsidP="00B65B9E">
      <w:pPr>
        <w:spacing w:line="276" w:lineRule="auto"/>
        <w:jc w:val="both"/>
        <w:rPr>
          <w:rFonts w:ascii="Calibri" w:hAnsi="Calibri"/>
        </w:rPr>
      </w:pPr>
    </w:p>
    <w:p w14:paraId="46B0D844" w14:textId="14CCB180" w:rsidR="00A25B61" w:rsidRPr="00A25B61" w:rsidRDefault="00A25B61" w:rsidP="00A25B61">
      <w:pPr>
        <w:spacing w:line="276" w:lineRule="auto"/>
        <w:jc w:val="both"/>
        <w:rPr>
          <w:rFonts w:asciiTheme="minorHAnsi" w:hAnsiTheme="minorHAnsi"/>
        </w:rPr>
      </w:pPr>
      <w:r w:rsidRPr="00A25B61">
        <w:rPr>
          <w:rFonts w:asciiTheme="minorHAnsi" w:hAnsiTheme="minorHAnsi"/>
        </w:rPr>
        <w:t xml:space="preserve">Bilješka </w:t>
      </w:r>
      <w:r>
        <w:rPr>
          <w:rFonts w:asciiTheme="minorHAnsi" w:hAnsiTheme="minorHAnsi"/>
        </w:rPr>
        <w:t>3</w:t>
      </w:r>
      <w:r w:rsidRPr="00A25B61">
        <w:rPr>
          <w:rFonts w:asciiTheme="minorHAnsi" w:hAnsiTheme="minorHAnsi"/>
        </w:rPr>
        <w:t>.</w:t>
      </w:r>
    </w:p>
    <w:p w14:paraId="2660F3DA" w14:textId="756FA04D" w:rsidR="00095FC9" w:rsidRPr="00A25B61" w:rsidRDefault="00A25B61" w:rsidP="00B65B9E">
      <w:pPr>
        <w:spacing w:line="276" w:lineRule="auto"/>
        <w:jc w:val="both"/>
        <w:rPr>
          <w:rFonts w:ascii="Calibri" w:hAnsi="Calibri"/>
        </w:rPr>
      </w:pPr>
      <w:r w:rsidRPr="00A25B61">
        <w:rPr>
          <w:rFonts w:ascii="Calibri" w:hAnsi="Calibri"/>
        </w:rPr>
        <w:t>ŠIFRA</w:t>
      </w:r>
      <w:r w:rsidR="00095FC9" w:rsidRPr="00A25B61">
        <w:rPr>
          <w:rFonts w:ascii="Calibri" w:hAnsi="Calibri"/>
        </w:rPr>
        <w:t xml:space="preserve"> V009 - Stanje nedospjelih obveza na kraju izvještajnog razdoblja iznosi </w:t>
      </w:r>
      <w:r>
        <w:rPr>
          <w:rFonts w:ascii="Calibri" w:hAnsi="Calibri"/>
        </w:rPr>
        <w:t>62.245,29</w:t>
      </w:r>
      <w:r w:rsidRPr="00A25B61">
        <w:rPr>
          <w:rFonts w:ascii="Calibri" w:hAnsi="Calibri"/>
        </w:rPr>
        <w:t xml:space="preserve"> </w:t>
      </w:r>
      <w:r w:rsidR="00095FC9" w:rsidRPr="00A25B61">
        <w:rPr>
          <w:rFonts w:ascii="Calibri" w:hAnsi="Calibri"/>
        </w:rPr>
        <w:t>eura</w:t>
      </w:r>
      <w:r w:rsidR="006F7B6E">
        <w:rPr>
          <w:rFonts w:ascii="Calibri" w:hAnsi="Calibri"/>
        </w:rPr>
        <w:t>, od toga:</w:t>
      </w:r>
    </w:p>
    <w:p w14:paraId="215A8594" w14:textId="77777777" w:rsidR="006F7B6E" w:rsidRPr="002D6187" w:rsidRDefault="006F7B6E" w:rsidP="006F7B6E">
      <w:pPr>
        <w:pStyle w:val="Bezproreda"/>
        <w:ind w:left="360"/>
        <w:jc w:val="both"/>
        <w:rPr>
          <w:rFonts w:cs="Calibri"/>
          <w:sz w:val="24"/>
          <w:szCs w:val="24"/>
          <w:highlight w:val="yellow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1"/>
        <w:gridCol w:w="1689"/>
      </w:tblGrid>
      <w:tr w:rsidR="006F7B6E" w:rsidRPr="002D6187" w14:paraId="71CD8FF7" w14:textId="77777777" w:rsidTr="000334E1">
        <w:tc>
          <w:tcPr>
            <w:tcW w:w="7229" w:type="dxa"/>
            <w:shd w:val="clear" w:color="auto" w:fill="D9D9D9"/>
          </w:tcPr>
          <w:p w14:paraId="28C343C7" w14:textId="77777777" w:rsidR="006F7B6E" w:rsidRPr="00EB0EF9" w:rsidRDefault="006F7B6E" w:rsidP="000334E1">
            <w:pPr>
              <w:pStyle w:val="Bezproreda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EB0EF9">
              <w:rPr>
                <w:rFonts w:cs="Calibri"/>
                <w:b/>
                <w:bCs/>
                <w:sz w:val="20"/>
                <w:szCs w:val="20"/>
              </w:rPr>
              <w:t>Naziv obveze</w:t>
            </w:r>
          </w:p>
        </w:tc>
        <w:tc>
          <w:tcPr>
            <w:tcW w:w="1701" w:type="dxa"/>
            <w:shd w:val="clear" w:color="auto" w:fill="D9D9D9"/>
          </w:tcPr>
          <w:p w14:paraId="660BE7EE" w14:textId="77777777" w:rsidR="006F7B6E" w:rsidRPr="00EB0EF9" w:rsidRDefault="006F7B6E" w:rsidP="000334E1">
            <w:pPr>
              <w:pStyle w:val="Bezproreda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EB0EF9">
              <w:rPr>
                <w:rFonts w:cs="Calibri"/>
                <w:b/>
                <w:bCs/>
                <w:sz w:val="20"/>
                <w:szCs w:val="20"/>
              </w:rPr>
              <w:t>Iznos u EUR</w:t>
            </w:r>
          </w:p>
        </w:tc>
      </w:tr>
      <w:tr w:rsidR="006F7B6E" w:rsidRPr="002D6187" w14:paraId="0499E855" w14:textId="77777777" w:rsidTr="000334E1">
        <w:tc>
          <w:tcPr>
            <w:tcW w:w="7229" w:type="dxa"/>
            <w:shd w:val="clear" w:color="auto" w:fill="auto"/>
          </w:tcPr>
          <w:p w14:paraId="7618F641" w14:textId="77777777" w:rsidR="006F7B6E" w:rsidRPr="00EB0EF9" w:rsidRDefault="006F7B6E" w:rsidP="000334E1">
            <w:pPr>
              <w:pStyle w:val="Bezproreda"/>
              <w:jc w:val="both"/>
              <w:rPr>
                <w:rFonts w:cs="Calibri"/>
                <w:sz w:val="20"/>
                <w:szCs w:val="20"/>
              </w:rPr>
            </w:pPr>
            <w:r w:rsidRPr="00EB0EF9">
              <w:rPr>
                <w:rFonts w:cs="Calibri"/>
                <w:sz w:val="20"/>
                <w:szCs w:val="20"/>
              </w:rPr>
              <w:t>Obveze za zaposlene</w:t>
            </w:r>
          </w:p>
        </w:tc>
        <w:tc>
          <w:tcPr>
            <w:tcW w:w="1701" w:type="dxa"/>
            <w:shd w:val="clear" w:color="auto" w:fill="auto"/>
          </w:tcPr>
          <w:p w14:paraId="36AC21D0" w14:textId="77777777" w:rsidR="006F7B6E" w:rsidRPr="00EB0EF9" w:rsidRDefault="006F7B6E" w:rsidP="000334E1">
            <w:pPr>
              <w:pStyle w:val="Bezproreda"/>
              <w:jc w:val="right"/>
              <w:rPr>
                <w:rFonts w:cs="Calibri"/>
                <w:sz w:val="20"/>
                <w:szCs w:val="20"/>
              </w:rPr>
            </w:pPr>
            <w:r w:rsidRPr="00EB0EF9">
              <w:rPr>
                <w:rFonts w:cs="Calibri"/>
                <w:sz w:val="20"/>
                <w:szCs w:val="20"/>
              </w:rPr>
              <w:t>54.519,94</w:t>
            </w:r>
          </w:p>
        </w:tc>
      </w:tr>
      <w:tr w:rsidR="006F7B6E" w:rsidRPr="002D6187" w14:paraId="1237B90D" w14:textId="77777777" w:rsidTr="000334E1">
        <w:tc>
          <w:tcPr>
            <w:tcW w:w="7229" w:type="dxa"/>
            <w:shd w:val="clear" w:color="auto" w:fill="auto"/>
          </w:tcPr>
          <w:p w14:paraId="1F72A819" w14:textId="77777777" w:rsidR="006F7B6E" w:rsidRPr="00EB0EF9" w:rsidRDefault="006F7B6E" w:rsidP="000334E1">
            <w:pPr>
              <w:pStyle w:val="Bezproreda"/>
              <w:jc w:val="both"/>
              <w:rPr>
                <w:rFonts w:cs="Calibri"/>
                <w:sz w:val="20"/>
                <w:szCs w:val="20"/>
              </w:rPr>
            </w:pPr>
            <w:r w:rsidRPr="00EB0EF9">
              <w:rPr>
                <w:rFonts w:cs="Calibri"/>
                <w:sz w:val="20"/>
                <w:szCs w:val="20"/>
              </w:rPr>
              <w:t>Obveze za materijalne rashode</w:t>
            </w:r>
          </w:p>
        </w:tc>
        <w:tc>
          <w:tcPr>
            <w:tcW w:w="1701" w:type="dxa"/>
            <w:shd w:val="clear" w:color="auto" w:fill="auto"/>
          </w:tcPr>
          <w:p w14:paraId="0CA788CC" w14:textId="77777777" w:rsidR="006F7B6E" w:rsidRPr="00EB0EF9" w:rsidRDefault="006F7B6E" w:rsidP="000334E1">
            <w:pPr>
              <w:pStyle w:val="Bezproreda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4.794,70</w:t>
            </w:r>
          </w:p>
        </w:tc>
      </w:tr>
      <w:tr w:rsidR="006F7B6E" w:rsidRPr="002D6187" w14:paraId="441EBEB4" w14:textId="77777777" w:rsidTr="000334E1">
        <w:tc>
          <w:tcPr>
            <w:tcW w:w="7229" w:type="dxa"/>
            <w:shd w:val="clear" w:color="auto" w:fill="auto"/>
          </w:tcPr>
          <w:p w14:paraId="7EC2F160" w14:textId="77777777" w:rsidR="006F7B6E" w:rsidRPr="00F96FD7" w:rsidRDefault="006F7B6E" w:rsidP="000334E1">
            <w:pPr>
              <w:pStyle w:val="Bezproreda"/>
              <w:jc w:val="both"/>
              <w:rPr>
                <w:rFonts w:cs="Calibri"/>
                <w:sz w:val="20"/>
                <w:szCs w:val="20"/>
              </w:rPr>
            </w:pPr>
            <w:r w:rsidRPr="00F96FD7">
              <w:rPr>
                <w:rFonts w:cs="Calibri"/>
                <w:sz w:val="20"/>
                <w:szCs w:val="20"/>
              </w:rPr>
              <w:t>Obveze za financijske rashode</w:t>
            </w:r>
          </w:p>
        </w:tc>
        <w:tc>
          <w:tcPr>
            <w:tcW w:w="1701" w:type="dxa"/>
            <w:shd w:val="clear" w:color="auto" w:fill="auto"/>
          </w:tcPr>
          <w:p w14:paraId="17B2DEEC" w14:textId="77777777" w:rsidR="006F7B6E" w:rsidRPr="00F96FD7" w:rsidRDefault="006F7B6E" w:rsidP="000334E1">
            <w:pPr>
              <w:pStyle w:val="Bezproreda"/>
              <w:jc w:val="right"/>
              <w:rPr>
                <w:rFonts w:cs="Calibri"/>
                <w:sz w:val="20"/>
                <w:szCs w:val="20"/>
              </w:rPr>
            </w:pPr>
            <w:r w:rsidRPr="00F96FD7">
              <w:rPr>
                <w:rFonts w:cs="Calibri"/>
                <w:sz w:val="20"/>
                <w:szCs w:val="20"/>
              </w:rPr>
              <w:t>73,16</w:t>
            </w:r>
          </w:p>
        </w:tc>
      </w:tr>
      <w:tr w:rsidR="006F7B6E" w:rsidRPr="002D6187" w14:paraId="7D3A53EE" w14:textId="77777777" w:rsidTr="000334E1">
        <w:tc>
          <w:tcPr>
            <w:tcW w:w="7229" w:type="dxa"/>
            <w:shd w:val="clear" w:color="auto" w:fill="auto"/>
          </w:tcPr>
          <w:p w14:paraId="6A86D75B" w14:textId="77777777" w:rsidR="006F7B6E" w:rsidRPr="00F96FD7" w:rsidRDefault="006F7B6E" w:rsidP="000334E1">
            <w:pPr>
              <w:pStyle w:val="Bezproreda"/>
              <w:jc w:val="both"/>
              <w:rPr>
                <w:rFonts w:cs="Calibri"/>
                <w:sz w:val="20"/>
                <w:szCs w:val="20"/>
              </w:rPr>
            </w:pPr>
            <w:r w:rsidRPr="00F96FD7">
              <w:rPr>
                <w:rFonts w:cs="Calibri"/>
                <w:sz w:val="20"/>
                <w:szCs w:val="20"/>
              </w:rPr>
              <w:t>Ostale tekuće obveze</w:t>
            </w:r>
          </w:p>
        </w:tc>
        <w:tc>
          <w:tcPr>
            <w:tcW w:w="1701" w:type="dxa"/>
            <w:shd w:val="clear" w:color="auto" w:fill="auto"/>
          </w:tcPr>
          <w:p w14:paraId="5200A156" w14:textId="77777777" w:rsidR="006F7B6E" w:rsidRPr="00F96FD7" w:rsidRDefault="006F7B6E" w:rsidP="000334E1">
            <w:pPr>
              <w:pStyle w:val="Bezproreda"/>
              <w:jc w:val="right"/>
              <w:rPr>
                <w:rFonts w:cs="Calibri"/>
                <w:sz w:val="20"/>
                <w:szCs w:val="20"/>
              </w:rPr>
            </w:pPr>
            <w:r w:rsidRPr="00F96FD7"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>857,49</w:t>
            </w:r>
          </w:p>
        </w:tc>
      </w:tr>
      <w:tr w:rsidR="006F7B6E" w:rsidRPr="002D6187" w14:paraId="12DABBD7" w14:textId="77777777" w:rsidTr="000334E1">
        <w:tc>
          <w:tcPr>
            <w:tcW w:w="7229" w:type="dxa"/>
            <w:shd w:val="clear" w:color="auto" w:fill="D9D9D9"/>
          </w:tcPr>
          <w:p w14:paraId="41B2BCAF" w14:textId="77777777" w:rsidR="006F7B6E" w:rsidRPr="00EB0EF9" w:rsidRDefault="006F7B6E" w:rsidP="000334E1">
            <w:pPr>
              <w:pStyle w:val="Bezproreda"/>
              <w:jc w:val="both"/>
              <w:rPr>
                <w:rFonts w:cs="Calibri"/>
                <w:b/>
                <w:sz w:val="20"/>
                <w:szCs w:val="20"/>
              </w:rPr>
            </w:pPr>
            <w:r w:rsidRPr="00EB0EF9">
              <w:rPr>
                <w:rFonts w:cs="Calibri"/>
                <w:b/>
                <w:sz w:val="20"/>
                <w:szCs w:val="20"/>
              </w:rPr>
              <w:t>UKUPN</w:t>
            </w:r>
            <w:r>
              <w:rPr>
                <w:rFonts w:cs="Calibri"/>
                <w:b/>
                <w:sz w:val="20"/>
                <w:szCs w:val="20"/>
              </w:rPr>
              <w:t>O</w:t>
            </w:r>
          </w:p>
        </w:tc>
        <w:tc>
          <w:tcPr>
            <w:tcW w:w="1701" w:type="dxa"/>
            <w:shd w:val="clear" w:color="auto" w:fill="D9D9D9"/>
          </w:tcPr>
          <w:p w14:paraId="00FD5CB8" w14:textId="77777777" w:rsidR="006F7B6E" w:rsidRPr="00EB0EF9" w:rsidRDefault="006F7B6E" w:rsidP="000334E1">
            <w:pPr>
              <w:pStyle w:val="Bezproreda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62.245,29</w:t>
            </w:r>
          </w:p>
        </w:tc>
      </w:tr>
    </w:tbl>
    <w:p w14:paraId="6C64D509" w14:textId="77777777" w:rsidR="006F7B6E" w:rsidRPr="002D6187" w:rsidRDefault="006F7B6E" w:rsidP="006F7B6E">
      <w:pPr>
        <w:pStyle w:val="Bezproreda"/>
        <w:ind w:left="360"/>
        <w:jc w:val="both"/>
        <w:rPr>
          <w:rFonts w:cs="Calibri"/>
          <w:sz w:val="24"/>
          <w:szCs w:val="24"/>
          <w:highlight w:val="yellow"/>
        </w:rPr>
      </w:pPr>
    </w:p>
    <w:p w14:paraId="734DACDF" w14:textId="479EBC6B" w:rsidR="006F7B6E" w:rsidRPr="006F7B6E" w:rsidRDefault="006F7B6E" w:rsidP="006F7B6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6F7B6E">
        <w:rPr>
          <w:rFonts w:ascii="Calibri" w:hAnsi="Calibri" w:cs="Calibri"/>
        </w:rPr>
        <w:t>a obveze prema dobavljačima odnosi iznos od 3.855,66 eura</w:t>
      </w:r>
      <w:r>
        <w:rPr>
          <w:rFonts w:ascii="Calibri" w:hAnsi="Calibri" w:cs="Calibri"/>
        </w:rPr>
        <w:t xml:space="preserve">, dok su međusobne obveze: </w:t>
      </w:r>
      <w:r w:rsidRPr="006F7B6E">
        <w:rPr>
          <w:rFonts w:ascii="Calibri" w:hAnsi="Calibri" w:cs="Calibri"/>
        </w:rPr>
        <w:t>obveze za povrat u proračun 2.857,49 eura</w:t>
      </w:r>
      <w:r>
        <w:rPr>
          <w:rFonts w:ascii="Calibri" w:hAnsi="Calibri" w:cs="Calibri"/>
        </w:rPr>
        <w:t xml:space="preserve"> i obveze za bolovanje u iznosu od 478,24 eura</w:t>
      </w:r>
      <w:r w:rsidR="00DB7946">
        <w:rPr>
          <w:rFonts w:ascii="Calibri" w:hAnsi="Calibri" w:cs="Calibri"/>
        </w:rPr>
        <w:t xml:space="preserve"> (ukupno 3.335,73 eura)</w:t>
      </w:r>
      <w:r w:rsidRPr="006F7B6E">
        <w:rPr>
          <w:rFonts w:ascii="Calibri" w:hAnsi="Calibri" w:cs="Calibri"/>
        </w:rPr>
        <w:t xml:space="preserve">. </w:t>
      </w:r>
    </w:p>
    <w:p w14:paraId="29BC449D" w14:textId="77777777" w:rsidR="00D5077B" w:rsidRPr="007F25F5" w:rsidRDefault="00D5077B" w:rsidP="00B65B9E">
      <w:pPr>
        <w:spacing w:line="276" w:lineRule="auto"/>
        <w:jc w:val="both"/>
        <w:rPr>
          <w:rFonts w:ascii="Calibri" w:hAnsi="Calibri"/>
          <w:highlight w:val="yellow"/>
        </w:rPr>
      </w:pPr>
    </w:p>
    <w:p w14:paraId="5B50C506" w14:textId="77777777" w:rsidR="00B65B9E" w:rsidRDefault="00B65B9E" w:rsidP="00B65B9E">
      <w:pPr>
        <w:spacing w:line="276" w:lineRule="auto"/>
        <w:jc w:val="both"/>
        <w:rPr>
          <w:rFonts w:ascii="Calibri" w:hAnsi="Calibri"/>
        </w:rPr>
      </w:pPr>
    </w:p>
    <w:p w14:paraId="1AFBD2F4" w14:textId="77777777" w:rsidR="00DB7946" w:rsidRDefault="00DB7946" w:rsidP="00B65B9E">
      <w:pPr>
        <w:spacing w:line="276" w:lineRule="auto"/>
        <w:jc w:val="both"/>
        <w:rPr>
          <w:rFonts w:ascii="Calibri" w:hAnsi="Calibri"/>
        </w:rPr>
      </w:pPr>
    </w:p>
    <w:p w14:paraId="79169648" w14:textId="4587B72A" w:rsidR="00C31BE5" w:rsidRPr="00C31BE5" w:rsidRDefault="00C31BE5" w:rsidP="00B65B9E">
      <w:pPr>
        <w:spacing w:line="276" w:lineRule="auto"/>
        <w:jc w:val="both"/>
        <w:rPr>
          <w:rFonts w:ascii="Calibri" w:hAnsi="Calibri"/>
        </w:rPr>
      </w:pPr>
      <w:r w:rsidRPr="00C31BE5">
        <w:rPr>
          <w:rFonts w:ascii="Calibri" w:hAnsi="Calibri"/>
        </w:rPr>
        <w:t>Virovitic</w:t>
      </w:r>
      <w:r>
        <w:rPr>
          <w:rFonts w:ascii="Calibri" w:hAnsi="Calibri"/>
        </w:rPr>
        <w:t>a</w:t>
      </w:r>
      <w:r w:rsidRPr="00C31BE5">
        <w:rPr>
          <w:rFonts w:ascii="Calibri" w:hAnsi="Calibri"/>
        </w:rPr>
        <w:t>, 2</w:t>
      </w:r>
      <w:r w:rsidR="00DB7946">
        <w:rPr>
          <w:rFonts w:ascii="Calibri" w:hAnsi="Calibri"/>
        </w:rPr>
        <w:t>9</w:t>
      </w:r>
      <w:r w:rsidRPr="00C31BE5">
        <w:rPr>
          <w:rFonts w:ascii="Calibri" w:hAnsi="Calibri"/>
        </w:rPr>
        <w:t>.1.202</w:t>
      </w:r>
      <w:r w:rsidR="00DB7946">
        <w:rPr>
          <w:rFonts w:ascii="Calibri" w:hAnsi="Calibri"/>
        </w:rPr>
        <w:t>5</w:t>
      </w:r>
      <w:r w:rsidRPr="00C31BE5">
        <w:rPr>
          <w:rFonts w:ascii="Calibri" w:hAnsi="Calibri"/>
        </w:rPr>
        <w:t>. godine</w:t>
      </w:r>
    </w:p>
    <w:p w14:paraId="748D654E" w14:textId="77777777" w:rsidR="00B65B9E" w:rsidRDefault="00B65B9E" w:rsidP="00B65B9E">
      <w:pPr>
        <w:spacing w:line="276" w:lineRule="auto"/>
        <w:jc w:val="both"/>
        <w:rPr>
          <w:rFonts w:asciiTheme="minorHAnsi" w:hAnsiTheme="minorHAnsi"/>
        </w:rPr>
      </w:pPr>
    </w:p>
    <w:p w14:paraId="40EF278D" w14:textId="5DCBF546" w:rsidR="00117A0F" w:rsidRPr="00C31BE5" w:rsidRDefault="00117A0F" w:rsidP="00B65B9E">
      <w:pPr>
        <w:spacing w:line="276" w:lineRule="auto"/>
        <w:jc w:val="both"/>
        <w:rPr>
          <w:rFonts w:asciiTheme="minorHAnsi" w:hAnsiTheme="minorHAnsi"/>
        </w:rPr>
      </w:pPr>
      <w:r w:rsidRPr="00C31BE5">
        <w:rPr>
          <w:rFonts w:asciiTheme="minorHAnsi" w:hAnsiTheme="minorHAnsi"/>
        </w:rPr>
        <w:t>Izradila:</w:t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  <w:t>Ravnateljica:</w:t>
      </w:r>
    </w:p>
    <w:p w14:paraId="1BD12117" w14:textId="506F6D96" w:rsidR="00117A0F" w:rsidRPr="00B65B9E" w:rsidRDefault="00117A0F" w:rsidP="00B65B9E">
      <w:pPr>
        <w:spacing w:line="276" w:lineRule="auto"/>
        <w:jc w:val="both"/>
        <w:rPr>
          <w:rFonts w:asciiTheme="minorHAnsi" w:hAnsiTheme="minorHAnsi"/>
        </w:rPr>
      </w:pPr>
      <w:r w:rsidRPr="00C31BE5">
        <w:rPr>
          <w:rFonts w:asciiTheme="minorHAnsi" w:hAnsiTheme="minorHAnsi"/>
        </w:rPr>
        <w:t xml:space="preserve">Margareta Stanić, mag. </w:t>
      </w:r>
      <w:proofErr w:type="spellStart"/>
      <w:r w:rsidRPr="00C31BE5">
        <w:rPr>
          <w:rFonts w:asciiTheme="minorHAnsi" w:hAnsiTheme="minorHAnsi"/>
        </w:rPr>
        <w:t>oec</w:t>
      </w:r>
      <w:proofErr w:type="spellEnd"/>
      <w:r w:rsidRPr="00C31BE5">
        <w:rPr>
          <w:rFonts w:asciiTheme="minorHAnsi" w:hAnsiTheme="minorHAnsi"/>
        </w:rPr>
        <w:t>.</w:t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  <w:t xml:space="preserve">Tihana Harmund, dipl. </w:t>
      </w:r>
      <w:proofErr w:type="spellStart"/>
      <w:r w:rsidRPr="00C31BE5">
        <w:rPr>
          <w:rFonts w:asciiTheme="minorHAnsi" w:hAnsiTheme="minorHAnsi"/>
        </w:rPr>
        <w:t>oec</w:t>
      </w:r>
      <w:proofErr w:type="spellEnd"/>
      <w:r w:rsidRPr="00C31BE5">
        <w:rPr>
          <w:rFonts w:asciiTheme="minorHAnsi" w:hAnsiTheme="minorHAnsi"/>
        </w:rPr>
        <w:t>.</w:t>
      </w:r>
    </w:p>
    <w:sectPr w:rsidR="00117A0F" w:rsidRPr="00B65B9E" w:rsidSect="00895CD7">
      <w:headerReference w:type="default" r:id="rId7"/>
      <w:footerReference w:type="default" r:id="rId8"/>
      <w:pgSz w:w="11906" w:h="16838" w:code="9"/>
      <w:pgMar w:top="21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0FE1" w14:textId="77777777" w:rsidR="003E580F" w:rsidRDefault="003E580F">
      <w:r>
        <w:separator/>
      </w:r>
    </w:p>
  </w:endnote>
  <w:endnote w:type="continuationSeparator" w:id="0">
    <w:p w14:paraId="06AA66F8" w14:textId="77777777" w:rsidR="003E580F" w:rsidRDefault="003E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071689"/>
      <w:docPartObj>
        <w:docPartGallery w:val="Page Numbers (Bottom of Page)"/>
        <w:docPartUnique/>
      </w:docPartObj>
    </w:sdtPr>
    <w:sdtContent>
      <w:p w14:paraId="0EA39803" w14:textId="77777777" w:rsidR="00486079" w:rsidRDefault="00486079">
        <w:pPr>
          <w:pStyle w:val="Podnoje"/>
          <w:jc w:val="right"/>
        </w:pPr>
      </w:p>
      <w:p w14:paraId="350B5A39" w14:textId="77777777" w:rsidR="00486079" w:rsidRDefault="0048607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D07">
          <w:rPr>
            <w:noProof/>
          </w:rPr>
          <w:t>3</w:t>
        </w:r>
        <w:r>
          <w:fldChar w:fldCharType="end"/>
        </w:r>
      </w:p>
    </w:sdtContent>
  </w:sdt>
  <w:p w14:paraId="0F90F9DA" w14:textId="77777777" w:rsidR="00C56C64" w:rsidRPr="0086546B" w:rsidRDefault="00C56C64" w:rsidP="0086546B">
    <w:pPr>
      <w:pStyle w:val="Podnoje"/>
      <w:jc w:val="center"/>
      <w:rPr>
        <w:rFonts w:ascii="Arial" w:hAnsi="Arial"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CF42" w14:textId="77777777" w:rsidR="003E580F" w:rsidRDefault="003E580F">
      <w:r>
        <w:separator/>
      </w:r>
    </w:p>
  </w:footnote>
  <w:footnote w:type="continuationSeparator" w:id="0">
    <w:p w14:paraId="23880D52" w14:textId="77777777" w:rsidR="003E580F" w:rsidRDefault="003E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59C3" w14:textId="6CABBF07" w:rsidR="008220B2" w:rsidRDefault="004F5CBA" w:rsidP="00077265">
    <w:pPr>
      <w:pStyle w:val="Zaglavlje"/>
      <w:tabs>
        <w:tab w:val="clear" w:pos="9072"/>
        <w:tab w:val="right" w:pos="10440"/>
      </w:tabs>
      <w:ind w:left="-1417" w:right="-1368"/>
      <w:rPr>
        <w:rFonts w:asciiTheme="minorHAnsi" w:hAnsiTheme="minorHAnsi"/>
        <w:color w:val="808080"/>
      </w:rPr>
    </w:pPr>
    <w:r w:rsidRPr="00F63EC9">
      <w:rPr>
        <w:noProof/>
        <w:color w:val="808080"/>
      </w:rPr>
      <w:drawing>
        <wp:anchor distT="0" distB="0" distL="114300" distR="114300" simplePos="0" relativeHeight="251657728" behindDoc="1" locked="0" layoutInCell="1" allowOverlap="1" wp14:anchorId="33D80EAD" wp14:editId="02B7D4AC">
          <wp:simplePos x="0" y="0"/>
          <wp:positionH relativeFrom="column">
            <wp:posOffset>4733925</wp:posOffset>
          </wp:positionH>
          <wp:positionV relativeFrom="paragraph">
            <wp:posOffset>-165735</wp:posOffset>
          </wp:positionV>
          <wp:extent cx="1028700" cy="79057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C64" w:rsidRPr="00F63EC9">
      <w:rPr>
        <w:color w:val="808080"/>
      </w:rPr>
      <w:t xml:space="preserve">                         </w:t>
    </w:r>
    <w:r w:rsidRPr="004F5CBA">
      <w:rPr>
        <w:rFonts w:asciiTheme="minorHAnsi" w:hAnsiTheme="minorHAnsi"/>
        <w:color w:val="808080"/>
      </w:rPr>
      <w:t xml:space="preserve">Bilješke uz </w:t>
    </w:r>
    <w:r>
      <w:rPr>
        <w:rFonts w:asciiTheme="minorHAnsi" w:hAnsiTheme="minorHAnsi"/>
        <w:color w:val="808080"/>
      </w:rPr>
      <w:t xml:space="preserve">financijske izvještaje </w:t>
    </w:r>
    <w:r w:rsidRPr="004F5CBA">
      <w:rPr>
        <w:rFonts w:asciiTheme="minorHAnsi" w:hAnsiTheme="minorHAnsi"/>
        <w:color w:val="808080"/>
      </w:rPr>
      <w:t xml:space="preserve">za </w:t>
    </w:r>
    <w:r w:rsidR="00673148">
      <w:rPr>
        <w:rFonts w:asciiTheme="minorHAnsi" w:hAnsiTheme="minorHAnsi"/>
        <w:color w:val="808080"/>
      </w:rPr>
      <w:t>razdoblje 01.01.</w:t>
    </w:r>
    <w:r w:rsidR="00CA7B7D">
      <w:rPr>
        <w:rFonts w:asciiTheme="minorHAnsi" w:hAnsiTheme="minorHAnsi"/>
        <w:color w:val="808080"/>
      </w:rPr>
      <w:t>2024</w:t>
    </w:r>
    <w:r w:rsidR="00673148">
      <w:rPr>
        <w:rFonts w:asciiTheme="minorHAnsi" w:hAnsiTheme="minorHAnsi"/>
        <w:color w:val="808080"/>
      </w:rPr>
      <w:t>. do 3</w:t>
    </w:r>
    <w:r w:rsidR="00E872B8">
      <w:rPr>
        <w:rFonts w:asciiTheme="minorHAnsi" w:hAnsiTheme="minorHAnsi"/>
        <w:color w:val="808080"/>
      </w:rPr>
      <w:t>1</w:t>
    </w:r>
    <w:r w:rsidR="00673148">
      <w:rPr>
        <w:rFonts w:asciiTheme="minorHAnsi" w:hAnsiTheme="minorHAnsi"/>
        <w:color w:val="808080"/>
      </w:rPr>
      <w:t>.</w:t>
    </w:r>
    <w:r w:rsidR="00E872B8">
      <w:rPr>
        <w:rFonts w:asciiTheme="minorHAnsi" w:hAnsiTheme="minorHAnsi"/>
        <w:color w:val="808080"/>
      </w:rPr>
      <w:t>12</w:t>
    </w:r>
    <w:r w:rsidR="00673148">
      <w:rPr>
        <w:rFonts w:asciiTheme="minorHAnsi" w:hAnsiTheme="minorHAnsi"/>
        <w:color w:val="808080"/>
      </w:rPr>
      <w:t>.</w:t>
    </w:r>
    <w:r w:rsidR="00CA7B7D">
      <w:rPr>
        <w:rFonts w:asciiTheme="minorHAnsi" w:hAnsiTheme="minorHAnsi"/>
        <w:color w:val="808080"/>
      </w:rPr>
      <w:t>2024</w:t>
    </w:r>
    <w:r w:rsidR="008220B2">
      <w:rPr>
        <w:rFonts w:asciiTheme="minorHAnsi" w:hAnsiTheme="minorHAnsi"/>
        <w:color w:val="808080"/>
      </w:rPr>
      <w:t>.</w:t>
    </w:r>
  </w:p>
  <w:p w14:paraId="1EDC5240" w14:textId="77777777" w:rsidR="00C56C64" w:rsidRPr="004F5CBA" w:rsidRDefault="00C56C64" w:rsidP="00077265">
    <w:pPr>
      <w:pStyle w:val="Zaglavlje"/>
      <w:tabs>
        <w:tab w:val="clear" w:pos="9072"/>
        <w:tab w:val="right" w:pos="10440"/>
      </w:tabs>
      <w:ind w:left="-1417" w:right="-1368"/>
      <w:rPr>
        <w:rFonts w:asciiTheme="minorHAnsi" w:hAnsiTheme="minorHAnsi"/>
        <w:color w:val="808080"/>
      </w:rPr>
    </w:pPr>
    <w:r w:rsidRPr="004F5CBA">
      <w:rPr>
        <w:rFonts w:asciiTheme="minorHAnsi" w:hAnsiTheme="minorHAnsi"/>
        <w:color w:val="808080"/>
      </w:rPr>
      <w:t xml:space="preserve">                   </w:t>
    </w:r>
  </w:p>
  <w:p w14:paraId="054C34E0" w14:textId="77777777" w:rsidR="00AD0F1B" w:rsidRPr="000F40E6" w:rsidRDefault="00C56C64" w:rsidP="004F5CBA">
    <w:pPr>
      <w:pStyle w:val="Zaglavlje"/>
      <w:rPr>
        <w:rFonts w:ascii="Calibri" w:hAnsi="Calibri"/>
        <w:color w:val="808080"/>
      </w:rPr>
    </w:pPr>
    <w:r w:rsidRPr="000F40E6">
      <w:rPr>
        <w:rFonts w:ascii="Calibri" w:hAnsi="Calibri"/>
        <w:b/>
        <w:color w:val="80808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3458"/>
    <w:multiLevelType w:val="hybridMultilevel"/>
    <w:tmpl w:val="C4129C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1E6187"/>
    <w:multiLevelType w:val="hybridMultilevel"/>
    <w:tmpl w:val="54C0AC30"/>
    <w:lvl w:ilvl="0" w:tplc="812290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346813">
    <w:abstractNumId w:val="1"/>
  </w:num>
  <w:num w:numId="2" w16cid:durableId="80990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C3"/>
    <w:rsid w:val="00003C89"/>
    <w:rsid w:val="00004C0E"/>
    <w:rsid w:val="0001537B"/>
    <w:rsid w:val="0003234B"/>
    <w:rsid w:val="00035B94"/>
    <w:rsid w:val="00035E7B"/>
    <w:rsid w:val="00050504"/>
    <w:rsid w:val="00052204"/>
    <w:rsid w:val="00054030"/>
    <w:rsid w:val="00075AAF"/>
    <w:rsid w:val="00077265"/>
    <w:rsid w:val="00095FC9"/>
    <w:rsid w:val="000961F8"/>
    <w:rsid w:val="000A2EF5"/>
    <w:rsid w:val="000A44C3"/>
    <w:rsid w:val="000B65FB"/>
    <w:rsid w:val="000C7438"/>
    <w:rsid w:val="000D23BE"/>
    <w:rsid w:val="000D2ADC"/>
    <w:rsid w:val="000D2E34"/>
    <w:rsid w:val="000D6973"/>
    <w:rsid w:val="000F40E6"/>
    <w:rsid w:val="0010593C"/>
    <w:rsid w:val="00112F68"/>
    <w:rsid w:val="00117A0F"/>
    <w:rsid w:val="001409E5"/>
    <w:rsid w:val="00151FFC"/>
    <w:rsid w:val="00152991"/>
    <w:rsid w:val="00152B5A"/>
    <w:rsid w:val="00154ACC"/>
    <w:rsid w:val="001653CB"/>
    <w:rsid w:val="00184479"/>
    <w:rsid w:val="00184701"/>
    <w:rsid w:val="001A0F3D"/>
    <w:rsid w:val="001C0DC8"/>
    <w:rsid w:val="001C3D95"/>
    <w:rsid w:val="001D55DE"/>
    <w:rsid w:val="001E485F"/>
    <w:rsid w:val="001F113F"/>
    <w:rsid w:val="001F6D61"/>
    <w:rsid w:val="00201063"/>
    <w:rsid w:val="00205792"/>
    <w:rsid w:val="00206946"/>
    <w:rsid w:val="00210943"/>
    <w:rsid w:val="00224120"/>
    <w:rsid w:val="00232E76"/>
    <w:rsid w:val="00254FDE"/>
    <w:rsid w:val="00261C0B"/>
    <w:rsid w:val="00263B90"/>
    <w:rsid w:val="00264580"/>
    <w:rsid w:val="00274AEE"/>
    <w:rsid w:val="002773AB"/>
    <w:rsid w:val="00282CD3"/>
    <w:rsid w:val="002838D4"/>
    <w:rsid w:val="002970F3"/>
    <w:rsid w:val="002A6AB6"/>
    <w:rsid w:val="002B0FFF"/>
    <w:rsid w:val="002B7C16"/>
    <w:rsid w:val="002D194C"/>
    <w:rsid w:val="002F5852"/>
    <w:rsid w:val="002F6108"/>
    <w:rsid w:val="002F6416"/>
    <w:rsid w:val="00305D7D"/>
    <w:rsid w:val="00313958"/>
    <w:rsid w:val="00317651"/>
    <w:rsid w:val="00350F80"/>
    <w:rsid w:val="00354110"/>
    <w:rsid w:val="00354152"/>
    <w:rsid w:val="00355D45"/>
    <w:rsid w:val="003615A0"/>
    <w:rsid w:val="003835BA"/>
    <w:rsid w:val="003966B7"/>
    <w:rsid w:val="003A614C"/>
    <w:rsid w:val="003D3471"/>
    <w:rsid w:val="003E580F"/>
    <w:rsid w:val="003F41EE"/>
    <w:rsid w:val="00464459"/>
    <w:rsid w:val="00466C18"/>
    <w:rsid w:val="004809E1"/>
    <w:rsid w:val="00486079"/>
    <w:rsid w:val="004862D9"/>
    <w:rsid w:val="00487581"/>
    <w:rsid w:val="00491427"/>
    <w:rsid w:val="00491664"/>
    <w:rsid w:val="004A7B20"/>
    <w:rsid w:val="004B2F2E"/>
    <w:rsid w:val="004E1E1A"/>
    <w:rsid w:val="004F2F56"/>
    <w:rsid w:val="004F5C97"/>
    <w:rsid w:val="004F5CBA"/>
    <w:rsid w:val="005341D3"/>
    <w:rsid w:val="00535F89"/>
    <w:rsid w:val="00540506"/>
    <w:rsid w:val="00542294"/>
    <w:rsid w:val="00594F16"/>
    <w:rsid w:val="0059663A"/>
    <w:rsid w:val="005B77D3"/>
    <w:rsid w:val="005D1CCC"/>
    <w:rsid w:val="005E065A"/>
    <w:rsid w:val="005F09BF"/>
    <w:rsid w:val="00610B83"/>
    <w:rsid w:val="00614523"/>
    <w:rsid w:val="006252AF"/>
    <w:rsid w:val="00627924"/>
    <w:rsid w:val="0063142D"/>
    <w:rsid w:val="00636074"/>
    <w:rsid w:val="006439FD"/>
    <w:rsid w:val="00647468"/>
    <w:rsid w:val="00651E80"/>
    <w:rsid w:val="00653017"/>
    <w:rsid w:val="00656290"/>
    <w:rsid w:val="00663A70"/>
    <w:rsid w:val="00670CD0"/>
    <w:rsid w:val="00673148"/>
    <w:rsid w:val="00675F8C"/>
    <w:rsid w:val="00684CA0"/>
    <w:rsid w:val="00691AC3"/>
    <w:rsid w:val="00692802"/>
    <w:rsid w:val="006A1A35"/>
    <w:rsid w:val="006A328B"/>
    <w:rsid w:val="006B65AB"/>
    <w:rsid w:val="006D7E4E"/>
    <w:rsid w:val="006E4C40"/>
    <w:rsid w:val="006F7B6E"/>
    <w:rsid w:val="00707C7C"/>
    <w:rsid w:val="007117AE"/>
    <w:rsid w:val="00737A9D"/>
    <w:rsid w:val="0075323D"/>
    <w:rsid w:val="00755610"/>
    <w:rsid w:val="007914C5"/>
    <w:rsid w:val="007952E3"/>
    <w:rsid w:val="0079583C"/>
    <w:rsid w:val="007A42A5"/>
    <w:rsid w:val="007B6C3E"/>
    <w:rsid w:val="007B7774"/>
    <w:rsid w:val="007D6688"/>
    <w:rsid w:val="007E1F8E"/>
    <w:rsid w:val="007F00FD"/>
    <w:rsid w:val="007F25F5"/>
    <w:rsid w:val="007F662E"/>
    <w:rsid w:val="007F6FD4"/>
    <w:rsid w:val="00813F5F"/>
    <w:rsid w:val="008220B2"/>
    <w:rsid w:val="00823E64"/>
    <w:rsid w:val="0084150F"/>
    <w:rsid w:val="008430FE"/>
    <w:rsid w:val="0086546B"/>
    <w:rsid w:val="00872C0B"/>
    <w:rsid w:val="008876C3"/>
    <w:rsid w:val="00895CD7"/>
    <w:rsid w:val="008A0465"/>
    <w:rsid w:val="008C2405"/>
    <w:rsid w:val="008C3D07"/>
    <w:rsid w:val="008C415D"/>
    <w:rsid w:val="008D1096"/>
    <w:rsid w:val="008D6783"/>
    <w:rsid w:val="008F1AE8"/>
    <w:rsid w:val="00926D8A"/>
    <w:rsid w:val="00927382"/>
    <w:rsid w:val="00935C7C"/>
    <w:rsid w:val="009378D8"/>
    <w:rsid w:val="00943F0A"/>
    <w:rsid w:val="0095025A"/>
    <w:rsid w:val="00963C7D"/>
    <w:rsid w:val="0098307B"/>
    <w:rsid w:val="00991AF3"/>
    <w:rsid w:val="009C5934"/>
    <w:rsid w:val="009F12AC"/>
    <w:rsid w:val="00A13284"/>
    <w:rsid w:val="00A2192E"/>
    <w:rsid w:val="00A249BB"/>
    <w:rsid w:val="00A25B61"/>
    <w:rsid w:val="00A325FE"/>
    <w:rsid w:val="00A4659B"/>
    <w:rsid w:val="00A5332F"/>
    <w:rsid w:val="00A5370C"/>
    <w:rsid w:val="00A81096"/>
    <w:rsid w:val="00A95BB4"/>
    <w:rsid w:val="00A96D5E"/>
    <w:rsid w:val="00AB67AF"/>
    <w:rsid w:val="00AD0080"/>
    <w:rsid w:val="00AD0F1B"/>
    <w:rsid w:val="00AD4829"/>
    <w:rsid w:val="00AE2963"/>
    <w:rsid w:val="00B16401"/>
    <w:rsid w:val="00B20196"/>
    <w:rsid w:val="00B20C67"/>
    <w:rsid w:val="00B32814"/>
    <w:rsid w:val="00B641ED"/>
    <w:rsid w:val="00B64C5A"/>
    <w:rsid w:val="00B65B9E"/>
    <w:rsid w:val="00B70FED"/>
    <w:rsid w:val="00B775BA"/>
    <w:rsid w:val="00B77F66"/>
    <w:rsid w:val="00B878C1"/>
    <w:rsid w:val="00B92B20"/>
    <w:rsid w:val="00B93092"/>
    <w:rsid w:val="00B9633E"/>
    <w:rsid w:val="00BA3FCB"/>
    <w:rsid w:val="00BA6220"/>
    <w:rsid w:val="00BC26D2"/>
    <w:rsid w:val="00BD0E5C"/>
    <w:rsid w:val="00BE39C8"/>
    <w:rsid w:val="00BF2A4D"/>
    <w:rsid w:val="00C071D2"/>
    <w:rsid w:val="00C24F9E"/>
    <w:rsid w:val="00C25080"/>
    <w:rsid w:val="00C31BE5"/>
    <w:rsid w:val="00C349A2"/>
    <w:rsid w:val="00C45D03"/>
    <w:rsid w:val="00C56C64"/>
    <w:rsid w:val="00C648D3"/>
    <w:rsid w:val="00C659EA"/>
    <w:rsid w:val="00C6763A"/>
    <w:rsid w:val="00C8703E"/>
    <w:rsid w:val="00C92862"/>
    <w:rsid w:val="00C94EFA"/>
    <w:rsid w:val="00CA2CFC"/>
    <w:rsid w:val="00CA7B7D"/>
    <w:rsid w:val="00CC0A95"/>
    <w:rsid w:val="00CC775E"/>
    <w:rsid w:val="00D207C3"/>
    <w:rsid w:val="00D20CE9"/>
    <w:rsid w:val="00D2225B"/>
    <w:rsid w:val="00D246B0"/>
    <w:rsid w:val="00D30D6C"/>
    <w:rsid w:val="00D34D9E"/>
    <w:rsid w:val="00D41501"/>
    <w:rsid w:val="00D41F07"/>
    <w:rsid w:val="00D421A0"/>
    <w:rsid w:val="00D5077B"/>
    <w:rsid w:val="00D83244"/>
    <w:rsid w:val="00D85B6C"/>
    <w:rsid w:val="00DA3022"/>
    <w:rsid w:val="00DB350C"/>
    <w:rsid w:val="00DB7946"/>
    <w:rsid w:val="00DC646B"/>
    <w:rsid w:val="00DD3685"/>
    <w:rsid w:val="00DF77E5"/>
    <w:rsid w:val="00DF7C7A"/>
    <w:rsid w:val="00E11C37"/>
    <w:rsid w:val="00E12490"/>
    <w:rsid w:val="00E21D4F"/>
    <w:rsid w:val="00E65334"/>
    <w:rsid w:val="00E66760"/>
    <w:rsid w:val="00E802CB"/>
    <w:rsid w:val="00E872B8"/>
    <w:rsid w:val="00E91322"/>
    <w:rsid w:val="00E96A0A"/>
    <w:rsid w:val="00EC0A77"/>
    <w:rsid w:val="00EC7E52"/>
    <w:rsid w:val="00EF0CF9"/>
    <w:rsid w:val="00F038A2"/>
    <w:rsid w:val="00F077C2"/>
    <w:rsid w:val="00F140B0"/>
    <w:rsid w:val="00F30232"/>
    <w:rsid w:val="00F308BC"/>
    <w:rsid w:val="00F3231A"/>
    <w:rsid w:val="00F445A4"/>
    <w:rsid w:val="00F63EC9"/>
    <w:rsid w:val="00F80B4E"/>
    <w:rsid w:val="00F96B77"/>
    <w:rsid w:val="00F97468"/>
    <w:rsid w:val="00FC20C3"/>
    <w:rsid w:val="00FD28C6"/>
    <w:rsid w:val="00F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0080C3"/>
  <w15:chartTrackingRefBased/>
  <w15:docId w15:val="{E765E2E9-8EB3-4D15-A27C-7A23B18C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62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C20C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FC20C3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C07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F63EC9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050504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86079"/>
    <w:rPr>
      <w:sz w:val="24"/>
      <w:szCs w:val="24"/>
    </w:rPr>
  </w:style>
  <w:style w:type="paragraph" w:styleId="Bezproreda">
    <w:name w:val="No Spacing"/>
    <w:uiPriority w:val="1"/>
    <w:qFormat/>
    <w:rsid w:val="006F7B6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1879</Words>
  <Characters>10448</Characters>
  <Application>Microsoft Office Word</Application>
  <DocSecurity>0</DocSecurity>
  <Lines>267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Općina Špišić Bukovica</vt:lpstr>
    </vt:vector>
  </TitlesOfParts>
  <Company/>
  <LinksUpToDate>false</LinksUpToDate>
  <CharactersWithSpaces>12233</CharactersWithSpaces>
  <SharedDoc>false</SharedDoc>
  <HLinks>
    <vt:vector size="6" baseType="variant">
      <vt:variant>
        <vt:i4>1703971</vt:i4>
      </vt:variant>
      <vt:variant>
        <vt:i4>0</vt:i4>
      </vt:variant>
      <vt:variant>
        <vt:i4>0</vt:i4>
      </vt:variant>
      <vt:variant>
        <vt:i4>5</vt:i4>
      </vt:variant>
      <vt:variant>
        <vt:lpwstr>mailto:ured@vta.hr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Špišić Bukovica</dc:title>
  <dc:subject/>
  <dc:creator>Grad 1</dc:creator>
  <cp:keywords/>
  <dc:description/>
  <cp:lastModifiedBy>Ured VTA</cp:lastModifiedBy>
  <cp:revision>10</cp:revision>
  <cp:lastPrinted>2024-01-24T07:17:00Z</cp:lastPrinted>
  <dcterms:created xsi:type="dcterms:W3CDTF">2025-01-28T08:13:00Z</dcterms:created>
  <dcterms:modified xsi:type="dcterms:W3CDTF">2025-01-29T07:34:00Z</dcterms:modified>
</cp:coreProperties>
</file>